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itle"/>
        <w:spacing w:before="120" w:after="0"/>
        <w:rPr>
          <w:spacing w:val="5"/>
        </w:rPr>
      </w:pPr>
      <w:r>
        <w:rPr>
          <w:spacing w:val="5"/>
        </w:rPr>
        <w:t>PREISERMITTLUNGSBLATT 1:</w:t>
      </w:r>
    </w:p>
    <w:p>
      <w:pPr>
        <w:pStyle w:val="Title"/>
        <w:spacing w:before="0" w:after="0"/>
        <w:rPr>
          <w:spacing w:val="5"/>
        </w:rPr>
      </w:pPr>
      <w:r>
        <w:rPr>
          <w:spacing w:val="5"/>
        </w:rPr>
        <w:t>ANGABEN ZUR KALKULATION</w:t>
      </w:r>
    </w:p>
    <w:p>
      <w:pPr>
        <w:pStyle w:val="Title"/>
        <w:snapToGrid w:val="false"/>
        <w:rPr>
          <w:color w:themeColor="text1" w:themeTint="80" w:val="7F7F7F"/>
          <w:spacing w:val="5"/>
          <w:sz w:val="20"/>
          <w:szCs w:val="20"/>
        </w:rPr>
      </w:pPr>
      <w:r>
        <w:rPr>
          <w:color w:themeColor="text1" w:themeTint="80" w:val="7F7F7F"/>
          <w:spacing w:val="5"/>
          <w:sz w:val="20"/>
          <w:szCs w:val="20"/>
        </w:rPr>
        <w:t>[Anlage zum Angebot]</w:t>
      </w:r>
    </w:p>
    <w:tbl>
      <w:tblPr>
        <w:tblW w:w="9639" w:type="dxa"/>
        <w:jc w:val="left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 w:noHBand="0" w:noVBand="0" w:firstColumn="0" w:lastRow="0" w:lastColumn="0" w:firstRow="0"/>
      </w:tblPr>
      <w:tblGrid>
        <w:gridCol w:w="6516"/>
        <w:gridCol w:w="1989"/>
        <w:gridCol w:w="1134"/>
      </w:tblGrid>
      <w:tr>
        <w:trPr>
          <w:trHeight w:val="567" w:hRule="atLeast"/>
          <w:cantSplit w:val="true"/>
        </w:trPr>
        <w:tc>
          <w:tcPr>
            <w:tcW w:w="65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>
            <w:pPr>
              <w:pStyle w:val="Normal"/>
              <w:spacing w:before="40" w:after="0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>Bieter</w:t>
            </w:r>
          </w:p>
          <w:p>
            <w:pPr>
              <w:pStyle w:val="Normal"/>
              <w:spacing w:before="40" w:after="0"/>
              <w:rPr>
                <w:rFonts w:ascii="Arial" w:hAnsi="Arial" w:cs="Arial"/>
                <w:sz w:val="20"/>
              </w:rPr>
            </w:pPr>
            <w:r>
              <w:fldChar w:fldCharType="begin">
                <w:ffData>
                  <w:name w:val="Bieter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20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98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>
            <w:pPr>
              <w:pStyle w:val="Normal"/>
              <w:spacing w:before="40" w:after="0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>Vergabenummer</w:t>
            </w:r>
          </w:p>
          <w:p>
            <w:pPr>
              <w:pStyle w:val="Normal"/>
              <w:tabs>
                <w:tab w:val="clear" w:pos="709"/>
                <w:tab w:val="left" w:pos="9923" w:leader="none"/>
                <w:tab w:val="left" w:pos="11482" w:leader="none"/>
                <w:tab w:val="left" w:pos="12758" w:leader="none"/>
              </w:tabs>
              <w:spacing w:before="40" w:after="0"/>
              <w:rPr>
                <w:rFonts w:ascii="Arial" w:hAnsi="Arial" w:cs="Arial"/>
                <w:sz w:val="20"/>
              </w:rPr>
            </w:pPr>
            <w:r>
              <w:fldChar w:fldCharType="begin">
                <w:ffData>
                  <w:name w:val="VergabeNr"/>
                  <w:enabled/>
                  <w:calcOnExit w:val="0"/>
                  <w:helpText w:type="text" w:val="Hier kann die Vergabe-Nummer eingegeben werde ( z.B. BA/123/2000)"/>
                  <w:statusText w:type="text" w:val="Hier kann die Vergabe-Nummer eingegeben werde ( z.B. BA/123/2000)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color w:val="000000"/>
                <w:sz w:val="18"/>
                <w:szCs w:val="18"/>
              </w:rPr>
              <w:t>LED_30</w:t>
            </w:r>
            <w:r>
              <w:rPr>
                <w:rFonts w:cs="Arial" w:ascii="Arial" w:hAnsi="Arial"/>
                <w:color w:val="000000"/>
                <w:sz w:val="18"/>
                <w:szCs w:val="18"/>
              </w:rPr>
              <w:t>13</w:t>
            </w:r>
            <w:r>
              <w:rPr>
                <w:rFonts w:cs="Arial" w:ascii="Arial" w:hAnsi="Arial"/>
                <w:color w:val="000000"/>
                <w:sz w:val="18"/>
                <w:szCs w:val="18"/>
              </w:rPr>
              <w:t>_OV_2026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>
            <w:pPr>
              <w:pStyle w:val="Normal"/>
              <w:spacing w:before="40" w:after="0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>Datum</w:t>
            </w:r>
          </w:p>
          <w:p>
            <w:pPr>
              <w:pStyle w:val="Normal"/>
              <w:spacing w:before="40" w:after="0"/>
              <w:rPr>
                <w:rFonts w:ascii="Arial" w:hAnsi="Arial" w:cs="Arial"/>
                <w:sz w:val="20"/>
              </w:rPr>
            </w:pPr>
            <w:r>
              <w:fldChar w:fldCharType="begin">
                <w:ffData>
                  <w:name w:val="Datum"/>
                  <w:enabled/>
                  <w:calcOnExit w:val="0"/>
                  <w:textInput>
                    <w:type w:val="date"/>
                    <w:maxLength w:val="20"/>
                    <w:format w:val="dd.MM.yyyy"/>
                  </w:textInput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20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</w:tr>
      <w:tr>
        <w:trPr>
          <w:trHeight w:val="851" w:hRule="atLeast"/>
          <w:cantSplit w:val="true"/>
        </w:trPr>
        <w:tc>
          <w:tcPr>
            <w:tcW w:w="9639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>
            <w:pPr>
              <w:pStyle w:val="Normal"/>
              <w:spacing w:before="40" w:after="0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>Baumaßnahme</w:t>
            </w:r>
          </w:p>
          <w:p>
            <w:pPr>
              <w:pStyle w:val="Normal"/>
              <w:spacing w:before="40" w:after="0"/>
              <w:rPr>
                <w:rFonts w:ascii="Arial" w:hAnsi="Arial" w:cs="Arial"/>
                <w:sz w:val="20"/>
              </w:rPr>
            </w:pPr>
            <w:r>
              <w:fldChar w:fldCharType="begin">
                <w:ffData>
                  <w:name w:val="Bau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color w:val="000000"/>
              </w:rPr>
              <w:t xml:space="preserve"> </w:t>
            </w:r>
            <w:r>
              <w:rPr>
                <w:rFonts w:cs="Arial" w:ascii="Arial" w:hAnsi="Arial"/>
                <w:color w:val="000000"/>
                <w:sz w:val="20"/>
              </w:rPr>
              <w:t>Ledigenhaus Rehhoffstraße – Sicherung, Sanierung, Rekonstruktion    </w:t>
            </w:r>
            <w:r/>
            <w:r>
              <w:rPr/>
              <w:fldChar w:fldCharType="end"/>
            </w:r>
            <w:r>
              <w:rPr/>
            </w:r>
          </w:p>
          <w:p>
            <w:pPr>
              <w:pStyle w:val="Normal"/>
              <w:spacing w:before="40" w:after="0"/>
              <w:rPr>
                <w:rFonts w:ascii="Arial" w:hAnsi="Arial" w:cs="Arial"/>
                <w:sz w:val="20"/>
              </w:rPr>
            </w:pPr>
            <w:r>
              <w:fldChar w:fldCharType="begin">
                <w:ffData>
                  <w:name w:val="Bau2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/>
            <w:r>
              <w:rPr/>
              <w:fldChar w:fldCharType="end"/>
            </w:r>
            <w:r>
              <w:rPr/>
            </w:r>
          </w:p>
        </w:tc>
      </w:tr>
      <w:tr>
        <w:trPr>
          <w:trHeight w:val="567" w:hRule="atLeast"/>
          <w:cantSplit w:val="true"/>
        </w:trPr>
        <w:tc>
          <w:tcPr>
            <w:tcW w:w="9639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>
            <w:pPr>
              <w:pStyle w:val="Normal"/>
              <w:spacing w:before="40" w:after="0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>Angebot für</w:t>
            </w:r>
          </w:p>
          <w:p>
            <w:pPr>
              <w:pStyle w:val="Normal"/>
              <w:spacing w:before="40" w:after="0"/>
              <w:rPr>
                <w:rFonts w:ascii="Arial" w:hAnsi="Arial" w:cs="Arial"/>
                <w:sz w:val="20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de-DE" w:eastAsia="de-DE" w:bidi="ar-SA"/>
              </w:rPr>
              <w:t>Estrich</w:t>
            </w: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de-DE" w:eastAsia="de-DE" w:bidi="ar-SA"/>
              </w:rPr>
              <w:t>arbeiten</w:t>
            </w:r>
            <w:r>
              <w:rPr>
                <w:rFonts w:cs="Arial" w:ascii="Arial" w:hAnsi="Arial"/>
                <w:color w:val="C9211E"/>
                <w:sz w:val="20"/>
              </w:rPr>
              <w:t>   </w:t>
            </w:r>
            <w:r/>
            <w:r>
              <w:rPr/>
              <w:fldChar w:fldCharType="end"/>
            </w:r>
            <w:r>
              <w:rPr/>
            </w:r>
          </w:p>
        </w:tc>
      </w:tr>
    </w:tbl>
    <w:p>
      <w:pPr>
        <w:pStyle w:val="Title"/>
        <w:snapToGrid w:val="false"/>
        <w:spacing w:before="120" w:after="0"/>
        <w:jc w:val="both"/>
        <w:rPr>
          <w:b w:val="false"/>
          <w:spacing w:val="5"/>
          <w:sz w:val="20"/>
          <w:szCs w:val="20"/>
        </w:rPr>
      </w:pPr>
      <w:r>
        <w:rPr>
          <w:b w:val="false"/>
          <w:spacing w:val="5"/>
          <w:sz w:val="20"/>
          <w:szCs w:val="20"/>
        </w:rPr>
      </w:r>
    </w:p>
    <w:p>
      <w:pPr>
        <w:pStyle w:val="Title"/>
        <w:snapToGrid w:val="false"/>
        <w:spacing w:before="120" w:after="0"/>
        <w:jc w:val="both"/>
        <w:rPr>
          <w:b w:val="false"/>
          <w:spacing w:val="5"/>
          <w:sz w:val="20"/>
          <w:szCs w:val="20"/>
        </w:rPr>
      </w:pPr>
      <w:r>
        <w:rPr>
          <w:b w:val="false"/>
          <w:spacing w:val="5"/>
          <w:sz w:val="20"/>
          <w:szCs w:val="20"/>
        </w:rPr>
        <w:t xml:space="preserve">Das </w:t>
      </w:r>
      <w:r>
        <w:rPr>
          <w:b w:val="false"/>
          <w:sz w:val="20"/>
          <w:szCs w:val="20"/>
        </w:rPr>
        <w:t>Preisermittlungsblatt 1 ist</w:t>
      </w:r>
      <w:r>
        <w:rPr>
          <w:b w:val="false"/>
          <w:spacing w:val="5"/>
          <w:sz w:val="20"/>
          <w:szCs w:val="20"/>
        </w:rPr>
        <w:t xml:space="preserve"> vom Bieter gemäß den nachstehenden Hinweisen auszufüllen und zusammen mit dem Angebot abzugeben. </w:t>
      </w:r>
    </w:p>
    <w:p>
      <w:pPr>
        <w:pStyle w:val="Title"/>
        <w:spacing w:before="120" w:after="0"/>
        <w:jc w:val="both"/>
        <w:rPr>
          <w:b w:val="false"/>
          <w:spacing w:val="5"/>
          <w:sz w:val="20"/>
          <w:szCs w:val="20"/>
        </w:rPr>
      </w:pPr>
      <w:r>
        <w:rPr>
          <w:b w:val="false"/>
          <w:spacing w:val="5"/>
          <w:sz w:val="20"/>
          <w:szCs w:val="20"/>
        </w:rPr>
        <w:t xml:space="preserve">Je nach Kalkulationsmethode macht der Bieter die Angaben zu seiner Kalkulation in Teil A </w:t>
      </w:r>
      <w:r>
        <w:rPr>
          <w:spacing w:val="5"/>
          <w:sz w:val="20"/>
          <w:szCs w:val="20"/>
          <w:u w:val="single"/>
        </w:rPr>
        <w:t>oder</w:t>
      </w:r>
      <w:r>
        <w:rPr>
          <w:b w:val="false"/>
          <w:spacing w:val="5"/>
          <w:sz w:val="20"/>
          <w:szCs w:val="20"/>
        </w:rPr>
        <w:t xml:space="preserve"> Teil B.</w:t>
      </w:r>
    </w:p>
    <w:p>
      <w:pPr>
        <w:pStyle w:val="Title"/>
        <w:spacing w:before="0" w:after="0"/>
        <w:jc w:val="both"/>
        <w:rPr>
          <w:spacing w:val="5"/>
          <w:sz w:val="20"/>
          <w:szCs w:val="20"/>
        </w:rPr>
      </w:pPr>
      <w:r>
        <w:rPr>
          <w:spacing w:val="5"/>
          <w:sz w:val="20"/>
          <w:szCs w:val="20"/>
        </w:rPr>
        <w:t xml:space="preserve">Für eventuelle Erläuterungen hat der Bieter gegebenenfalls ein Beiblatt anzufügen. </w:t>
      </w:r>
    </w:p>
    <w:p>
      <w:pPr>
        <w:pStyle w:val="Title"/>
        <w:spacing w:before="120" w:after="0"/>
        <w:jc w:val="both"/>
        <w:rPr>
          <w:b w:val="false"/>
          <w:sz w:val="20"/>
          <w:szCs w:val="20"/>
        </w:rPr>
      </w:pPr>
      <w:r>
        <w:rPr>
          <w:b w:val="false"/>
          <w:spacing w:val="5"/>
          <w:sz w:val="20"/>
          <w:szCs w:val="20"/>
        </w:rPr>
        <w:t xml:space="preserve">Das </w:t>
      </w:r>
      <w:r>
        <w:rPr>
          <w:b w:val="false"/>
          <w:sz w:val="20"/>
          <w:szCs w:val="20"/>
        </w:rPr>
        <w:t>Preisermittlungsblatt 1 wird vertraulich behandelt und nur den unmittelbar mit der Bearbeitung befassten Personen zugänglich gemacht.</w:t>
      </w:r>
    </w:p>
    <w:p>
      <w:pPr>
        <w:pStyle w:val="Title"/>
        <w:spacing w:before="120" w:after="0"/>
        <w:ind w:hanging="851" w:left="851"/>
        <w:jc w:val="both"/>
        <w:rPr>
          <w:b w:val="false"/>
          <w:i/>
          <w:i/>
          <w:sz w:val="16"/>
          <w:szCs w:val="16"/>
        </w:rPr>
      </w:pPr>
      <w:r>
        <w:rPr>
          <w:i/>
          <w:sz w:val="16"/>
          <w:szCs w:val="16"/>
        </w:rPr>
        <w:t>Hinweis:</w:t>
      </w:r>
      <w:r>
        <w:rPr>
          <w:b w:val="false"/>
          <w:i/>
          <w:sz w:val="16"/>
          <w:szCs w:val="16"/>
        </w:rPr>
        <w:t xml:space="preserve"> </w:t>
        <w:tab/>
        <w:t xml:space="preserve">Die Vergabestelle kann die Angaben zur Kalkulation im Preisermittlungsblatt 1 auch von jedem Nachunternehmer für die an ihn weitervergebene(n) (Teil-)Leistung(en) verlangen (vgl. Nr. 10 Erklärung des Nachunternehmers (Anlage 6-101)). </w:t>
      </w:r>
    </w:p>
    <w:p>
      <w:pPr>
        <w:pStyle w:val="Title"/>
        <w:spacing w:before="120" w:after="0"/>
        <w:ind w:hanging="851" w:left="851"/>
        <w:jc w:val="both"/>
        <w:rPr>
          <w:i/>
          <w:i/>
          <w:spacing w:val="5"/>
          <w:sz w:val="16"/>
          <w:szCs w:val="16"/>
          <w:u w:val="single"/>
        </w:rPr>
      </w:pPr>
      <w:r>
        <w:rPr>
          <w:i/>
          <w:spacing w:val="5"/>
          <w:sz w:val="16"/>
          <w:szCs w:val="16"/>
          <w:u w:val="single"/>
        </w:rPr>
      </w:r>
    </w:p>
    <w:p>
      <w:pPr>
        <w:pStyle w:val="Title"/>
        <w:spacing w:before="480" w:after="120"/>
        <w:jc w:val="left"/>
        <w:rPr>
          <w:spacing w:val="5"/>
          <w:sz w:val="22"/>
          <w:szCs w:val="22"/>
        </w:rPr>
      </w:pPr>
      <w:r>
        <w:rPr>
          <w:spacing w:val="5"/>
          <w:sz w:val="22"/>
          <w:szCs w:val="22"/>
          <w:u w:val="single"/>
        </w:rPr>
        <w:t>Teil A:</w:t>
      </w:r>
      <w:r>
        <w:rPr>
          <w:spacing w:val="5"/>
          <w:sz w:val="22"/>
          <w:szCs w:val="22"/>
        </w:rPr>
        <w:t xml:space="preserve"> </w:t>
        <w:tab/>
        <w:t>KALKULATION MIT VORBESTIMMTEN ZUSCHLÄGEN</w:t>
      </w:r>
    </w:p>
    <w:tbl>
      <w:tblPr>
        <w:tblW w:w="9639" w:type="dxa"/>
        <w:jc w:val="left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noHBand="0" w:noVBand="0" w:firstColumn="1" w:lastRow="1" w:lastColumn="1" w:firstRow="1"/>
      </w:tblPr>
      <w:tblGrid>
        <w:gridCol w:w="562"/>
        <w:gridCol w:w="6525"/>
        <w:gridCol w:w="1136"/>
        <w:gridCol w:w="1415"/>
      </w:tblGrid>
      <w:tr>
        <w:trPr>
          <w:trHeight w:val="382" w:hRule="atLeast"/>
          <w:cantSplit w:val="true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  <w:numId w:val="2"/>
              </w:numPr>
              <w:tabs>
                <w:tab w:val="clear" w:pos="709"/>
              </w:tabs>
              <w:snapToGrid w:val="false"/>
              <w:spacing w:beforeAutospacing="0" w:before="0" w:afterAutospacing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652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  <w:numId w:val="0"/>
              </w:numPr>
              <w:snapToGrid w:val="false"/>
              <w:spacing w:beforeAutospacing="0" w:before="0" w:afterAutospacing="0" w:after="0"/>
              <w:ind w:hanging="0"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Angaben über den Verrechnungslohn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Zuschlag</w:t>
              <w:br/>
              <w:t>%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cs="Arial" w:ascii="Arial" w:hAnsi="Arial"/>
                <w:b/>
                <w:sz w:val="18"/>
                <w:szCs w:val="18"/>
              </w:rPr>
              <w:t>€</w:t>
            </w:r>
            <w:r>
              <w:rPr>
                <w:rFonts w:cs="Arial" w:ascii="Arial" w:hAnsi="Arial"/>
                <w:b/>
                <w:sz w:val="18"/>
                <w:szCs w:val="18"/>
              </w:rPr>
              <w:t>/h</w:t>
            </w:r>
          </w:p>
        </w:tc>
      </w:tr>
      <w:tr>
        <w:trPr>
          <w:trHeight w:val="567" w:hRule="atLeast"/>
          <w:cantSplit w:val="true"/>
        </w:trPr>
        <w:tc>
          <w:tcPr>
            <w:tcW w:w="56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1"/>
                <w:numId w:val="2"/>
              </w:numPr>
              <w:snapToGrid w:val="false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7661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0"/>
                <w:numId w:val="0"/>
              </w:numPr>
              <w:snapToGrid w:val="false"/>
              <w:spacing w:before="0" w:after="0"/>
              <w:ind w:hanging="0"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Mittellohn ML</w:t>
            </w:r>
          </w:p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einschl. Lohnzulagen u. Lohnerhöhung, wenn keine Lohngleitklausel vereinbart wird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</w:tr>
      <w:tr>
        <w:trPr>
          <w:trHeight w:val="567" w:hRule="atLeast"/>
          <w:cantSplit w:val="true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1"/>
                <w:numId w:val="2"/>
              </w:numPr>
              <w:snapToGrid w:val="false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0"/>
                <w:numId w:val="0"/>
              </w:numPr>
              <w:snapToGrid w:val="false"/>
              <w:spacing w:before="0" w:after="0"/>
              <w:ind w:hanging="0"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Lohnzusatzkosten</w:t>
            </w:r>
          </w:p>
          <w:p>
            <w:pPr>
              <w:pStyle w:val="Normal"/>
              <w:snapToGrid w:val="false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cs="Arial" w:ascii="Arial" w:hAnsi="Arial"/>
                <w:spacing w:val="-2"/>
                <w:sz w:val="18"/>
                <w:szCs w:val="18"/>
              </w:rPr>
              <w:t xml:space="preserve">Sozialkosten, Soziallöhne u. lohnbezogene Kosten, als Zuschlag auf </w:t>
            </w:r>
            <w:r>
              <w:rPr>
                <w:rFonts w:cs="Arial" w:ascii="Arial" w:hAnsi="Arial"/>
                <w:b/>
                <w:spacing w:val="-2"/>
                <w:sz w:val="18"/>
                <w:szCs w:val="18"/>
              </w:rPr>
              <w:t>ML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</w:tr>
      <w:tr>
        <w:trPr>
          <w:trHeight w:val="567" w:hRule="atLeast"/>
          <w:cantSplit w:val="true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1"/>
                <w:numId w:val="2"/>
              </w:numPr>
              <w:snapToGrid w:val="false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0"/>
                <w:numId w:val="0"/>
              </w:numPr>
              <w:snapToGrid w:val="false"/>
              <w:spacing w:before="0" w:after="0"/>
              <w:ind w:hanging="0"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Lohnnebenkosten</w:t>
            </w:r>
          </w:p>
          <w:p>
            <w:pPr>
              <w:pStyle w:val="Normal"/>
              <w:snapToGrid w:val="false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 xml:space="preserve">Auslösungen, Fahrgelder, als Zuschlag auf </w:t>
            </w:r>
            <w:r>
              <w:rPr>
                <w:rFonts w:cs="Arial" w:ascii="Arial" w:hAnsi="Arial"/>
                <w:b/>
                <w:sz w:val="18"/>
                <w:szCs w:val="18"/>
              </w:rPr>
              <w:t>ML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</w:tr>
      <w:tr>
        <w:trPr>
          <w:trHeight w:val="567" w:hRule="atLeast"/>
          <w:cantSplit w:val="true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1"/>
                <w:numId w:val="2"/>
              </w:numPr>
              <w:snapToGrid w:val="false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7661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0"/>
                <w:numId w:val="0"/>
              </w:numPr>
              <w:snapToGrid w:val="false"/>
              <w:spacing w:before="0" w:after="0"/>
              <w:ind w:hanging="0"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Kalkulationslohn KL</w:t>
            </w:r>
          </w:p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(Summe 1.1 bis 1.3)</w:t>
            </w:r>
          </w:p>
        </w:tc>
        <w:tc>
          <w:tcPr>
            <w:tcW w:w="14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</w:tr>
      <w:tr>
        <w:trPr>
          <w:trHeight w:val="567" w:hRule="atLeast"/>
          <w:cantSplit w:val="true"/>
        </w:trPr>
        <w:tc>
          <w:tcPr>
            <w:tcW w:w="56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1"/>
                <w:numId w:val="2"/>
              </w:numPr>
              <w:snapToGrid w:val="false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652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0"/>
                <w:numId w:val="0"/>
              </w:numPr>
              <w:snapToGrid w:val="false"/>
              <w:spacing w:before="0" w:after="0"/>
              <w:ind w:hanging="0"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Zuschlag auf Kalkulationslohn</w:t>
            </w:r>
          </w:p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(aus Zeile 2.4, Spalte 1)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415" w:type="dxa"/>
            <w:tcBorders>
              <w:top w:val="single" w:sz="8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</w:tr>
      <w:tr>
        <w:trPr>
          <w:trHeight w:val="567" w:hRule="atLeast"/>
          <w:cantSplit w:val="true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1"/>
                <w:numId w:val="2"/>
              </w:numPr>
              <w:snapToGrid w:val="false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7661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0"/>
                <w:numId w:val="0"/>
              </w:numPr>
              <w:snapToGrid w:val="false"/>
              <w:spacing w:before="0" w:after="0"/>
              <w:ind w:hanging="0"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Verrechnungslohn VL</w:t>
            </w:r>
          </w:p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(Summe 1.4 und 1.5, VL im EFB-Preis 2 berücksichtigen)</w:t>
            </w:r>
          </w:p>
        </w:tc>
        <w:tc>
          <w:tcPr>
            <w:tcW w:w="14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</w:tr>
    </w:tbl>
    <w:p>
      <w:pPr>
        <w:pStyle w:val="Normal"/>
        <w:rPr>
          <w:rFonts w:ascii="Arial" w:hAnsi="Arial" w:cs="Arial"/>
          <w:sz w:val="10"/>
          <w:szCs w:val="10"/>
        </w:rPr>
      </w:pPr>
      <w:r>
        <w:rPr>
          <w:rFonts w:cs="Arial" w:ascii="Arial" w:hAnsi="Arial"/>
          <w:sz w:val="10"/>
          <w:szCs w:val="10"/>
        </w:rPr>
      </w:r>
    </w:p>
    <w:p>
      <w:pPr>
        <w:pStyle w:val="Normal"/>
        <w:overflowPunct w:val="false"/>
        <w:textAlignment w:val="auto"/>
        <w:rPr>
          <w:rFonts w:ascii="Arial" w:hAnsi="Arial" w:cs="Arial"/>
          <w:sz w:val="10"/>
          <w:szCs w:val="10"/>
        </w:rPr>
      </w:pPr>
      <w:r>
        <w:rPr>
          <w:rFonts w:cs="Arial" w:ascii="Arial" w:hAnsi="Arial"/>
          <w:sz w:val="10"/>
          <w:szCs w:val="10"/>
        </w:rPr>
      </w:r>
      <w:r>
        <w:br w:type="page"/>
      </w:r>
    </w:p>
    <w:p>
      <w:pPr>
        <w:pStyle w:val="Normal"/>
        <w:spacing w:before="0" w:after="0"/>
        <w:rPr>
          <w:rFonts w:ascii="Arial" w:hAnsi="Arial" w:cs="Arial"/>
          <w:sz w:val="10"/>
          <w:szCs w:val="10"/>
        </w:rPr>
      </w:pPr>
      <w:r>
        <w:rPr>
          <w:rFonts w:cs="Arial" w:ascii="Arial" w:hAnsi="Arial"/>
          <w:sz w:val="10"/>
          <w:szCs w:val="10"/>
        </w:rPr>
      </w:r>
    </w:p>
    <w:tbl>
      <w:tblPr>
        <w:tblW w:w="9640" w:type="dxa"/>
        <w:jc w:val="left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noHBand="0" w:noVBand="0" w:firstColumn="1" w:lastRow="1" w:lastColumn="1" w:firstRow="1"/>
      </w:tblPr>
      <w:tblGrid>
        <w:gridCol w:w="562"/>
        <w:gridCol w:w="2838"/>
        <w:gridCol w:w="1248"/>
        <w:gridCol w:w="1247"/>
        <w:gridCol w:w="1250"/>
        <w:gridCol w:w="1244"/>
        <w:gridCol w:w="1250"/>
      </w:tblGrid>
      <w:tr>
        <w:trPr>
          <w:trHeight w:val="420" w:hRule="atLeast"/>
          <w:cantSplit w:val="true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  <w:numId w:val="2"/>
              </w:numPr>
              <w:snapToGrid w:val="false"/>
              <w:spacing w:beforeAutospacing="0" w:before="0" w:afterAutospacing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77" w:type="dxa"/>
            <w:gridSpan w:val="6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  <w:numId w:val="0"/>
              </w:numPr>
              <w:snapToGrid w:val="false"/>
              <w:spacing w:beforeAutospacing="0" w:before="0" w:afterAutospacing="0" w:after="0"/>
              <w:ind w:hanging="0"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Zuschläge auf die Einzelkosten der Teilleistungen = unmittelbare Herstellungskosten</w:t>
            </w:r>
          </w:p>
        </w:tc>
      </w:tr>
      <w:tr>
        <w:trPr>
          <w:trHeight w:val="284" w:hRule="atLeast"/>
          <w:cantSplit w:val="true"/>
        </w:trPr>
        <w:tc>
          <w:tcPr>
            <w:tcW w:w="562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2838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6239" w:type="dxa"/>
            <w:gridSpan w:val="5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Zuschläge in % auf</w:t>
            </w:r>
          </w:p>
        </w:tc>
      </w:tr>
      <w:tr>
        <w:trPr>
          <w:trHeight w:val="425" w:hRule="atLeast"/>
          <w:cantSplit w:val="true"/>
        </w:trPr>
        <w:tc>
          <w:tcPr>
            <w:tcW w:w="5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0"/>
                <w:numId w:val="0"/>
              </w:numPr>
              <w:snapToGrid w:val="false"/>
              <w:spacing w:before="0" w:after="0"/>
              <w:ind w:hanging="0" w:left="56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8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  <w:numId w:val="0"/>
              </w:numPr>
              <w:snapToGrid w:val="false"/>
              <w:spacing w:beforeAutospacing="0" w:before="0" w:afterAutospacing="0" w:after="0"/>
              <w:ind w:hanging="0"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Lohn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Stoffkosten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Gerätekosten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Sonstige Kosten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Nachunter</w:t>
              <w:softHyphen/>
              <w:t>nehmerleist.</w:t>
            </w:r>
          </w:p>
        </w:tc>
      </w:tr>
      <w:tr>
        <w:trPr>
          <w:trHeight w:val="365" w:hRule="atLeast"/>
          <w:cantSplit w:val="true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1"/>
                <w:numId w:val="2"/>
              </w:numPr>
              <w:snapToGrid w:val="false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0"/>
                <w:numId w:val="0"/>
              </w:numPr>
              <w:snapToGrid w:val="false"/>
              <w:spacing w:before="0" w:after="0"/>
              <w:ind w:hanging="0"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Baustellengemeinkosten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  <w:numId w:val="0"/>
              </w:numPr>
              <w:snapToGrid w:val="false"/>
              <w:spacing w:beforeAutospacing="0" w:before="0" w:afterAutospacing="0" w:after="0"/>
              <w:ind w:hanging="0" w:left="0"/>
              <w:rPr>
                <w:sz w:val="18"/>
                <w:szCs w:val="18"/>
              </w:rPr>
            </w:pPr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  <w:numId w:val="0"/>
              </w:numPr>
              <w:snapToGrid w:val="false"/>
              <w:spacing w:beforeAutospacing="0" w:before="0" w:afterAutospacing="0" w:after="0"/>
              <w:ind w:hanging="0" w:left="0"/>
              <w:rPr>
                <w:sz w:val="18"/>
                <w:szCs w:val="18"/>
              </w:rPr>
            </w:pPr>
            <w: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  <w:numId w:val="0"/>
              </w:numPr>
              <w:snapToGrid w:val="false"/>
              <w:spacing w:beforeAutospacing="0" w:before="0" w:afterAutospacing="0" w:after="0"/>
              <w:ind w:hanging="0" w:left="0"/>
              <w:rPr>
                <w:sz w:val="18"/>
                <w:szCs w:val="18"/>
              </w:rPr>
            </w:pPr>
            <w: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  <w:numId w:val="0"/>
              </w:numPr>
              <w:snapToGrid w:val="false"/>
              <w:spacing w:beforeAutospacing="0" w:before="0" w:afterAutospacing="0" w:after="0"/>
              <w:ind w:hanging="0" w:left="0"/>
              <w:rPr>
                <w:sz w:val="18"/>
                <w:szCs w:val="18"/>
              </w:rPr>
            </w:pPr>
            <w: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  <w:numId w:val="0"/>
              </w:numPr>
              <w:snapToGrid w:val="false"/>
              <w:spacing w:beforeAutospacing="0" w:before="0" w:afterAutospacing="0" w:after="0"/>
              <w:ind w:hanging="0" w:left="0"/>
              <w:rPr>
                <w:sz w:val="18"/>
                <w:szCs w:val="18"/>
              </w:rPr>
            </w:pPr>
            <w: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</w:tr>
      <w:tr>
        <w:trPr>
          <w:trHeight w:val="356" w:hRule="atLeast"/>
          <w:cantSplit w:val="true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1"/>
                <w:numId w:val="2"/>
              </w:numPr>
              <w:snapToGrid w:val="false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0"/>
                <w:numId w:val="0"/>
              </w:numPr>
              <w:snapToGrid w:val="false"/>
              <w:spacing w:before="0" w:after="0"/>
              <w:ind w:hanging="0" w:left="0"/>
              <w:rPr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Allgemeine Geschäftskosten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  <w:numId w:val="0"/>
              </w:numPr>
              <w:snapToGrid w:val="false"/>
              <w:spacing w:beforeAutospacing="0" w:before="0" w:afterAutospacing="0" w:after="0"/>
              <w:ind w:hanging="0" w:left="0"/>
              <w:rPr>
                <w:sz w:val="18"/>
                <w:szCs w:val="18"/>
              </w:rPr>
            </w:pPr>
            <w: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  <w:numId w:val="0"/>
              </w:numPr>
              <w:snapToGrid w:val="false"/>
              <w:spacing w:beforeAutospacing="0" w:before="0" w:afterAutospacing="0" w:after="0"/>
              <w:ind w:hanging="0" w:left="0"/>
              <w:rPr>
                <w:sz w:val="18"/>
                <w:szCs w:val="18"/>
              </w:rPr>
            </w:pPr>
            <w: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  <w:numId w:val="0"/>
              </w:numPr>
              <w:snapToGrid w:val="false"/>
              <w:spacing w:beforeAutospacing="0" w:before="0" w:afterAutospacing="0" w:after="0"/>
              <w:ind w:hanging="0" w:left="0"/>
              <w:rPr>
                <w:sz w:val="18"/>
                <w:szCs w:val="18"/>
              </w:rPr>
            </w:pPr>
            <w: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  <w:numId w:val="0"/>
              </w:numPr>
              <w:snapToGrid w:val="false"/>
              <w:spacing w:beforeAutospacing="0" w:before="0" w:afterAutospacing="0" w:after="0"/>
              <w:ind w:hanging="0" w:left="0"/>
              <w:rPr>
                <w:sz w:val="18"/>
                <w:szCs w:val="18"/>
              </w:rPr>
            </w:pPr>
            <w: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  <w:numId w:val="0"/>
              </w:numPr>
              <w:snapToGrid w:val="false"/>
              <w:spacing w:beforeAutospacing="0" w:before="0" w:afterAutospacing="0" w:after="0"/>
              <w:ind w:hanging="0" w:left="0"/>
              <w:rPr>
                <w:sz w:val="18"/>
                <w:szCs w:val="18"/>
              </w:rPr>
            </w:pPr>
            <w: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</w:tr>
      <w:tr>
        <w:trPr>
          <w:trHeight w:val="363" w:hRule="atLeast"/>
          <w:cantSplit w:val="true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1"/>
                <w:numId w:val="2"/>
              </w:numPr>
              <w:snapToGrid w:val="false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0"/>
                <w:numId w:val="0"/>
              </w:numPr>
              <w:snapToGrid w:val="false"/>
              <w:spacing w:before="0" w:after="0"/>
              <w:ind w:hanging="0"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Wagnis und Gewinn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  <w:numId w:val="0"/>
              </w:numPr>
              <w:snapToGrid w:val="false"/>
              <w:spacing w:beforeAutospacing="0" w:before="0" w:afterAutospacing="0" w:after="0"/>
              <w:ind w:hanging="0" w:left="0"/>
              <w:rPr>
                <w:sz w:val="18"/>
                <w:szCs w:val="18"/>
              </w:rPr>
            </w:pPr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  <w:numId w:val="0"/>
              </w:numPr>
              <w:snapToGrid w:val="false"/>
              <w:spacing w:beforeAutospacing="0" w:before="0" w:afterAutospacing="0" w:after="0"/>
              <w:ind w:hanging="0" w:left="0"/>
              <w:rPr>
                <w:sz w:val="18"/>
                <w:szCs w:val="18"/>
              </w:rPr>
            </w:pPr>
            <w: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  <w:numId w:val="0"/>
              </w:numPr>
              <w:snapToGrid w:val="false"/>
              <w:spacing w:beforeAutospacing="0" w:before="0" w:afterAutospacing="0" w:after="0"/>
              <w:ind w:hanging="0" w:left="0"/>
              <w:rPr>
                <w:sz w:val="18"/>
                <w:szCs w:val="18"/>
              </w:rPr>
            </w:pPr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  <w:numId w:val="0"/>
              </w:numPr>
              <w:snapToGrid w:val="false"/>
              <w:spacing w:beforeAutospacing="0" w:before="0" w:afterAutospacing="0" w:after="0"/>
              <w:ind w:hanging="0" w:left="0"/>
              <w:rPr>
                <w:sz w:val="18"/>
                <w:szCs w:val="18"/>
              </w:rPr>
            </w:pPr>
            <w: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  <w:numId w:val="0"/>
              </w:numPr>
              <w:snapToGrid w:val="false"/>
              <w:spacing w:beforeAutospacing="0" w:before="0" w:afterAutospacing="0" w:after="0"/>
              <w:ind w:hanging="0" w:left="0"/>
              <w:rPr>
                <w:sz w:val="18"/>
                <w:szCs w:val="18"/>
              </w:rPr>
            </w:pPr>
            <w: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</w:tr>
      <w:tr>
        <w:trPr>
          <w:trHeight w:val="363" w:hRule="atLeast"/>
          <w:cantSplit w:val="true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0"/>
                <w:numId w:val="0"/>
              </w:numPr>
              <w:snapToGrid w:val="false"/>
              <w:spacing w:before="0" w:after="0"/>
              <w:ind w:hanging="0" w:left="0"/>
              <w:rPr>
                <w:b w:val="false"/>
                <w:sz w:val="18"/>
                <w:szCs w:val="18"/>
              </w:rPr>
            </w:pPr>
            <w:r>
              <w:rPr>
                <w:b w:val="false"/>
                <w:sz w:val="18"/>
                <w:szCs w:val="18"/>
              </w:rPr>
              <w:t>2.3.1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0"/>
                <w:numId w:val="0"/>
              </w:numPr>
              <w:snapToGrid w:val="false"/>
              <w:spacing w:before="0" w:after="0"/>
              <w:ind w:hanging="0" w:left="0"/>
              <w:rPr>
                <w:b w:val="false"/>
                <w:sz w:val="18"/>
                <w:szCs w:val="18"/>
              </w:rPr>
            </w:pPr>
            <w:r>
              <w:rPr>
                <w:b w:val="false"/>
                <w:sz w:val="18"/>
                <w:szCs w:val="18"/>
              </w:rPr>
              <w:t>Gewinn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  <w:numId w:val="0"/>
              </w:numPr>
              <w:snapToGrid w:val="false"/>
              <w:spacing w:beforeAutospacing="0" w:before="0" w:afterAutospacing="0" w:after="0"/>
              <w:ind w:hanging="0" w:left="0"/>
              <w:rPr>
                <w:b w:val="false"/>
                <w:color w:themeColor="text1" w:val="000000"/>
                <w:sz w:val="18"/>
                <w:szCs w:val="18"/>
              </w:rPr>
            </w:pPr>
            <w:r>
              <w:fldChar w:fldCharType="begin">
                <w:ffData>
                  <w:name w:val="Text14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b w:val="false"/>
                <w:color w:themeColor="text1" w:val="000000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  <w:numId w:val="0"/>
              </w:numPr>
              <w:snapToGrid w:val="false"/>
              <w:spacing w:beforeAutospacing="0" w:before="0" w:afterAutospacing="0" w:after="0"/>
              <w:ind w:hanging="0" w:left="0"/>
              <w:rPr>
                <w:b w:val="false"/>
                <w:color w:themeColor="text1" w:val="000000"/>
                <w:sz w:val="18"/>
                <w:szCs w:val="18"/>
              </w:rPr>
            </w:pPr>
            <w:r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b w:val="false"/>
                <w:color w:themeColor="text1" w:val="000000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  <w:numId w:val="0"/>
              </w:numPr>
              <w:snapToGrid w:val="false"/>
              <w:spacing w:beforeAutospacing="0" w:before="0" w:afterAutospacing="0" w:after="0"/>
              <w:ind w:hanging="0" w:left="0"/>
              <w:rPr>
                <w:b w:val="false"/>
                <w:color w:themeColor="text1" w:val="000000"/>
                <w:sz w:val="18"/>
                <w:szCs w:val="18"/>
              </w:rPr>
            </w:pPr>
            <w:r>
              <w:fldChar w:fldCharType="begin">
                <w:ffData>
                  <w:name w:val="Text22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b w:val="false"/>
                <w:color w:themeColor="text1" w:val="000000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  <w:numId w:val="0"/>
              </w:numPr>
              <w:snapToGrid w:val="false"/>
              <w:spacing w:beforeAutospacing="0" w:before="0" w:afterAutospacing="0" w:after="0"/>
              <w:ind w:hanging="0" w:left="0"/>
              <w:rPr>
                <w:b w:val="false"/>
                <w:color w:themeColor="text1" w:val="000000"/>
                <w:sz w:val="18"/>
                <w:szCs w:val="18"/>
              </w:rPr>
            </w:pPr>
            <w:r>
              <w:fldChar w:fldCharType="begin">
                <w:ffData>
                  <w:name w:val="Text26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b w:val="false"/>
                <w:color w:themeColor="text1" w:val="000000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  <w:numId w:val="0"/>
              </w:numPr>
              <w:snapToGrid w:val="false"/>
              <w:spacing w:beforeAutospacing="0" w:before="0" w:afterAutospacing="0" w:after="0"/>
              <w:ind w:hanging="0" w:left="0"/>
              <w:rPr>
                <w:b w:val="false"/>
                <w:color w:themeColor="text1" w:val="000000"/>
                <w:sz w:val="18"/>
                <w:szCs w:val="18"/>
              </w:rPr>
            </w:pPr>
            <w:r>
              <w:fldChar w:fldCharType="begin">
                <w:ffData>
                  <w:name w:val="Text30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b w:val="false"/>
                <w:color w:themeColor="text1" w:val="000000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</w:tr>
      <w:tr>
        <w:trPr>
          <w:trHeight w:val="363" w:hRule="atLeast"/>
          <w:cantSplit w:val="true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0"/>
                <w:numId w:val="0"/>
              </w:numPr>
              <w:snapToGrid w:val="false"/>
              <w:spacing w:before="0" w:after="0"/>
              <w:ind w:hanging="0" w:left="0"/>
              <w:rPr>
                <w:b w:val="false"/>
                <w:sz w:val="18"/>
                <w:szCs w:val="18"/>
              </w:rPr>
            </w:pPr>
            <w:r>
              <w:rPr>
                <w:b w:val="false"/>
                <w:sz w:val="18"/>
                <w:szCs w:val="18"/>
              </w:rPr>
              <w:t>2.3.2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0"/>
                <w:numId w:val="0"/>
              </w:numPr>
              <w:snapToGrid w:val="false"/>
              <w:spacing w:before="0" w:after="0"/>
              <w:ind w:hanging="0" w:left="0"/>
              <w:rPr>
                <w:b w:val="false"/>
                <w:sz w:val="18"/>
                <w:szCs w:val="18"/>
              </w:rPr>
            </w:pPr>
            <w:r>
              <w:rPr>
                <w:b w:val="false"/>
                <w:sz w:val="18"/>
                <w:szCs w:val="18"/>
              </w:rPr>
              <w:t>betriebsbezogenes Wagnis</w:t>
            </w:r>
          </w:p>
          <w:p>
            <w:pPr>
              <w:pStyle w:val="Normal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(für allgemeines Unternehmensrisiko)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  <w:numId w:val="0"/>
              </w:numPr>
              <w:snapToGrid w:val="false"/>
              <w:spacing w:beforeAutospacing="0" w:before="0" w:afterAutospacing="0" w:after="0"/>
              <w:ind w:hanging="0" w:left="0"/>
              <w:rPr>
                <w:b w:val="false"/>
                <w:color w:themeColor="text1" w:val="000000"/>
                <w:sz w:val="18"/>
                <w:szCs w:val="18"/>
              </w:rPr>
            </w:pPr>
            <w:r>
              <w:fldChar w:fldCharType="begin">
                <w:ffData>
                  <w:name w:val="Text142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b w:val="false"/>
                <w:color w:themeColor="text1" w:val="000000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  <w:numId w:val="0"/>
              </w:numPr>
              <w:snapToGrid w:val="false"/>
              <w:spacing w:beforeAutospacing="0" w:before="0" w:afterAutospacing="0" w:after="0"/>
              <w:ind w:hanging="0" w:left="0"/>
              <w:rPr>
                <w:b w:val="false"/>
                <w:color w:themeColor="text1" w:val="000000"/>
                <w:sz w:val="18"/>
                <w:szCs w:val="18"/>
              </w:rPr>
            </w:pPr>
            <w:r>
              <w:fldChar w:fldCharType="begin">
                <w:ffData>
                  <w:name w:val="Text182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b w:val="false"/>
                <w:color w:themeColor="text1" w:val="000000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  <w:numId w:val="0"/>
              </w:numPr>
              <w:snapToGrid w:val="false"/>
              <w:spacing w:beforeAutospacing="0" w:before="0" w:afterAutospacing="0" w:after="0"/>
              <w:ind w:hanging="0" w:left="0"/>
              <w:rPr>
                <w:b w:val="false"/>
                <w:color w:themeColor="text1" w:val="000000"/>
                <w:sz w:val="18"/>
                <w:szCs w:val="18"/>
              </w:rPr>
            </w:pPr>
            <w:r>
              <w:fldChar w:fldCharType="begin">
                <w:ffData>
                  <w:name w:val="Text222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b w:val="false"/>
                <w:color w:themeColor="text1" w:val="000000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  <w:numId w:val="0"/>
              </w:numPr>
              <w:snapToGrid w:val="false"/>
              <w:spacing w:beforeAutospacing="0" w:before="0" w:afterAutospacing="0" w:after="0"/>
              <w:ind w:hanging="0" w:left="0"/>
              <w:rPr>
                <w:b w:val="false"/>
                <w:color w:themeColor="text1" w:val="000000"/>
                <w:sz w:val="18"/>
                <w:szCs w:val="18"/>
              </w:rPr>
            </w:pPr>
            <w:r>
              <w:fldChar w:fldCharType="begin">
                <w:ffData>
                  <w:name w:val="Text262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b w:val="false"/>
                <w:color w:themeColor="text1" w:val="000000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  <w:numId w:val="0"/>
              </w:numPr>
              <w:snapToGrid w:val="false"/>
              <w:spacing w:beforeAutospacing="0" w:before="0" w:afterAutospacing="0" w:after="0"/>
              <w:ind w:hanging="0" w:left="0"/>
              <w:rPr>
                <w:b w:val="false"/>
                <w:color w:themeColor="text1" w:val="000000"/>
                <w:sz w:val="18"/>
                <w:szCs w:val="18"/>
              </w:rPr>
            </w:pPr>
            <w:r>
              <w:fldChar w:fldCharType="begin">
                <w:ffData>
                  <w:name w:val="Text302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b w:val="false"/>
                <w:color w:themeColor="text1" w:val="000000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</w:tr>
      <w:tr>
        <w:trPr>
          <w:trHeight w:val="363" w:hRule="atLeast"/>
          <w:cantSplit w:val="true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0"/>
                <w:numId w:val="0"/>
              </w:numPr>
              <w:snapToGrid w:val="false"/>
              <w:spacing w:before="0" w:after="0"/>
              <w:ind w:hanging="0" w:left="0"/>
              <w:rPr>
                <w:b w:val="false"/>
                <w:sz w:val="18"/>
                <w:szCs w:val="18"/>
              </w:rPr>
            </w:pPr>
            <w:r>
              <w:rPr>
                <w:b w:val="false"/>
                <w:sz w:val="18"/>
                <w:szCs w:val="18"/>
              </w:rPr>
              <w:t>2.3.3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0"/>
                <w:numId w:val="0"/>
              </w:numPr>
              <w:snapToGrid w:val="false"/>
              <w:spacing w:before="0" w:after="0"/>
              <w:ind w:hanging="0" w:left="0"/>
              <w:rPr>
                <w:b w:val="false"/>
                <w:sz w:val="18"/>
                <w:szCs w:val="18"/>
              </w:rPr>
            </w:pPr>
            <w:r>
              <w:rPr>
                <w:b w:val="false"/>
                <w:sz w:val="18"/>
                <w:szCs w:val="18"/>
              </w:rPr>
              <w:t>leistungsbezogenes Wagnis</w:t>
            </w:r>
          </w:p>
          <w:p>
            <w:pPr>
              <w:pStyle w:val="Normal"/>
              <w:rPr/>
            </w:pPr>
            <w:r>
              <w:rPr>
                <w:rFonts w:cs="Arial" w:ascii="Arial" w:hAnsi="Arial"/>
                <w:sz w:val="16"/>
                <w:szCs w:val="16"/>
              </w:rPr>
              <w:t>(mit Leistungsausführung verbunden)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  <w:numId w:val="0"/>
              </w:numPr>
              <w:snapToGrid w:val="false"/>
              <w:spacing w:beforeAutospacing="0" w:before="0" w:afterAutospacing="0" w:after="0"/>
              <w:ind w:hanging="0" w:left="0"/>
              <w:rPr>
                <w:b w:val="false"/>
                <w:color w:themeColor="text1" w:val="000000"/>
                <w:sz w:val="18"/>
                <w:szCs w:val="18"/>
              </w:rPr>
            </w:pPr>
            <w:r>
              <w:fldChar w:fldCharType="begin">
                <w:ffData>
                  <w:name w:val="Text143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b w:val="false"/>
                <w:color w:themeColor="text1" w:val="000000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  <w:numId w:val="0"/>
              </w:numPr>
              <w:snapToGrid w:val="false"/>
              <w:spacing w:beforeAutospacing="0" w:before="0" w:afterAutospacing="0" w:after="0"/>
              <w:ind w:hanging="0" w:left="0"/>
              <w:rPr>
                <w:b w:val="false"/>
                <w:color w:themeColor="text1" w:val="000000"/>
                <w:sz w:val="18"/>
                <w:szCs w:val="18"/>
              </w:rPr>
            </w:pPr>
            <w:r>
              <w:fldChar w:fldCharType="begin">
                <w:ffData>
                  <w:name w:val="Text183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b w:val="false"/>
                <w:color w:themeColor="text1" w:val="000000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  <w:numId w:val="0"/>
              </w:numPr>
              <w:snapToGrid w:val="false"/>
              <w:spacing w:beforeAutospacing="0" w:before="0" w:afterAutospacing="0" w:after="0"/>
              <w:ind w:hanging="0" w:left="0"/>
              <w:rPr>
                <w:b w:val="false"/>
                <w:color w:themeColor="text1" w:val="000000"/>
                <w:sz w:val="18"/>
                <w:szCs w:val="18"/>
              </w:rPr>
            </w:pPr>
            <w:r>
              <w:fldChar w:fldCharType="begin">
                <w:ffData>
                  <w:name w:val="Text223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b w:val="false"/>
                <w:color w:themeColor="text1" w:val="000000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  <w:numId w:val="0"/>
              </w:numPr>
              <w:snapToGrid w:val="false"/>
              <w:spacing w:beforeAutospacing="0" w:before="0" w:afterAutospacing="0" w:after="0"/>
              <w:ind w:hanging="0" w:left="0"/>
              <w:rPr>
                <w:b w:val="false"/>
                <w:color w:themeColor="text1" w:val="000000"/>
                <w:sz w:val="18"/>
                <w:szCs w:val="18"/>
              </w:rPr>
            </w:pPr>
            <w:r>
              <w:fldChar w:fldCharType="begin">
                <w:ffData>
                  <w:name w:val="Text263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b w:val="false"/>
                <w:color w:themeColor="text1" w:val="000000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  <w:numId w:val="0"/>
              </w:numPr>
              <w:snapToGrid w:val="false"/>
              <w:spacing w:beforeAutospacing="0" w:before="0" w:afterAutospacing="0" w:after="0"/>
              <w:ind w:hanging="0" w:left="0"/>
              <w:rPr>
                <w:b w:val="false"/>
                <w:color w:themeColor="text1" w:val="000000"/>
                <w:sz w:val="18"/>
                <w:szCs w:val="18"/>
              </w:rPr>
            </w:pPr>
            <w:r>
              <w:fldChar w:fldCharType="begin">
                <w:ffData>
                  <w:name w:val="Text303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b w:val="false"/>
                <w:color w:themeColor="text1" w:val="000000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</w:tr>
      <w:tr>
        <w:trPr>
          <w:trHeight w:val="359" w:hRule="atLeast"/>
          <w:cantSplit w:val="true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1"/>
                <w:numId w:val="2"/>
              </w:numPr>
              <w:snapToGrid w:val="false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83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0"/>
                <w:numId w:val="0"/>
              </w:numPr>
              <w:snapToGrid w:val="false"/>
              <w:spacing w:before="0" w:after="0"/>
              <w:ind w:hanging="0"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Gesamtzuschläge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  <w:numId w:val="0"/>
              </w:numPr>
              <w:snapToGrid w:val="false"/>
              <w:spacing w:beforeAutospacing="0" w:before="0" w:afterAutospacing="0" w:after="0"/>
              <w:ind w:hanging="0" w:left="0"/>
              <w:rPr>
                <w:sz w:val="18"/>
                <w:szCs w:val="18"/>
              </w:rPr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24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  <w:numId w:val="0"/>
              </w:numPr>
              <w:snapToGrid w:val="false"/>
              <w:spacing w:beforeAutospacing="0" w:before="0" w:afterAutospacing="0" w:after="0"/>
              <w:ind w:hanging="0" w:left="0"/>
              <w:rPr>
                <w:sz w:val="18"/>
                <w:szCs w:val="18"/>
              </w:rPr>
            </w:pPr>
            <w: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25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  <w:numId w:val="0"/>
              </w:numPr>
              <w:snapToGrid w:val="false"/>
              <w:spacing w:beforeAutospacing="0" w:before="0" w:afterAutospacing="0" w:after="0"/>
              <w:ind w:hanging="0" w:left="0"/>
              <w:rPr>
                <w:sz w:val="18"/>
                <w:szCs w:val="18"/>
              </w:rPr>
            </w:pPr>
            <w: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24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  <w:numId w:val="0"/>
              </w:numPr>
              <w:snapToGrid w:val="false"/>
              <w:spacing w:beforeAutospacing="0" w:before="0" w:afterAutospacing="0" w:after="0"/>
              <w:ind w:hanging="0" w:left="0"/>
              <w:rPr>
                <w:sz w:val="18"/>
                <w:szCs w:val="18"/>
              </w:rPr>
            </w:pPr>
            <w: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25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  <w:numId w:val="0"/>
              </w:numPr>
              <w:snapToGrid w:val="false"/>
              <w:spacing w:beforeAutospacing="0" w:before="0" w:afterAutospacing="0" w:after="0"/>
              <w:ind w:hanging="0" w:left="0"/>
              <w:rPr>
                <w:sz w:val="18"/>
                <w:szCs w:val="18"/>
              </w:rPr>
            </w:pPr>
            <w: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</w:tr>
    </w:tbl>
    <w:p>
      <w:pPr>
        <w:pStyle w:val="Normal"/>
        <w:rPr>
          <w:rFonts w:ascii="Arial" w:hAnsi="Arial" w:cs="Arial"/>
          <w:sz w:val="10"/>
          <w:szCs w:val="10"/>
        </w:rPr>
      </w:pPr>
      <w:r>
        <w:rPr>
          <w:rFonts w:cs="Arial" w:ascii="Arial" w:hAnsi="Arial"/>
          <w:sz w:val="10"/>
          <w:szCs w:val="10"/>
        </w:rPr>
      </w:r>
    </w:p>
    <w:p>
      <w:pPr>
        <w:pStyle w:val="Normal"/>
        <w:rPr>
          <w:rFonts w:ascii="Arial" w:hAnsi="Arial" w:cs="Arial"/>
          <w:sz w:val="10"/>
          <w:szCs w:val="10"/>
        </w:rPr>
      </w:pPr>
      <w:r>
        <w:rPr>
          <w:rFonts w:cs="Arial" w:ascii="Arial" w:hAnsi="Arial"/>
          <w:sz w:val="10"/>
          <w:szCs w:val="10"/>
        </w:rPr>
      </w:r>
    </w:p>
    <w:p>
      <w:pPr>
        <w:pStyle w:val="Normal"/>
        <w:rPr>
          <w:rFonts w:ascii="Arial" w:hAnsi="Arial" w:cs="Arial"/>
          <w:sz w:val="10"/>
          <w:szCs w:val="10"/>
        </w:rPr>
      </w:pPr>
      <w:r>
        <w:rPr>
          <w:rFonts w:cs="Arial" w:ascii="Arial" w:hAnsi="Arial"/>
          <w:sz w:val="10"/>
          <w:szCs w:val="10"/>
        </w:rPr>
      </w:r>
    </w:p>
    <w:tbl>
      <w:tblPr>
        <w:tblW w:w="9645" w:type="dxa"/>
        <w:jc w:val="left"/>
        <w:tblInd w:w="52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noHBand="0" w:noVBand="0" w:firstColumn="1" w:lastRow="1" w:lastColumn="1" w:firstRow="1"/>
      </w:tblPr>
      <w:tblGrid>
        <w:gridCol w:w="567"/>
        <w:gridCol w:w="4252"/>
        <w:gridCol w:w="1701"/>
        <w:gridCol w:w="1418"/>
        <w:gridCol w:w="1707"/>
      </w:tblGrid>
      <w:tr>
        <w:trPr>
          <w:trHeight w:val="420" w:hRule="atLeast"/>
          <w:cantSplit w:val="true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  <w:numId w:val="2"/>
              </w:numPr>
              <w:snapToGrid w:val="false"/>
              <w:spacing w:beforeAutospacing="0" w:before="0" w:afterAutospacing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78" w:type="dxa"/>
            <w:gridSpan w:val="4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  <w:numId w:val="0"/>
              </w:numPr>
              <w:snapToGrid w:val="false"/>
              <w:spacing w:beforeAutospacing="0" w:before="0" w:afterAutospacing="0" w:after="0"/>
              <w:ind w:hanging="0"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Ermittlung der Angebotssumme</w:t>
            </w:r>
          </w:p>
        </w:tc>
      </w:tr>
      <w:tr>
        <w:trPr>
          <w:trHeight w:val="567" w:hRule="atLeast"/>
          <w:cantSplit w:val="true"/>
        </w:trPr>
        <w:tc>
          <w:tcPr>
            <w:tcW w:w="56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42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Einzelkosten d. Teilleistungen</w:t>
            </w:r>
          </w:p>
          <w:p>
            <w:pPr>
              <w:pStyle w:val="Normal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= unmittelbare Herstellungskosten</w:t>
            </w:r>
          </w:p>
          <w:p>
            <w:pPr>
              <w:pStyle w:val="Normal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cs="Arial" w:ascii="Arial" w:hAnsi="Arial"/>
                <w:b/>
                <w:sz w:val="18"/>
                <w:szCs w:val="18"/>
              </w:rPr>
              <w:t>€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Gesamt-zuschläge</w:t>
              <w:br/>
              <w:t>gem. 2.4</w:t>
              <w:br/>
            </w:r>
          </w:p>
          <w:p>
            <w:pPr>
              <w:pStyle w:val="Normal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cs="Arial" w:ascii="Arial" w:hAnsi="Arial"/>
                <w:b/>
                <w:sz w:val="18"/>
                <w:szCs w:val="18"/>
              </w:rPr>
              <w:t>%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Angebotssumme</w:t>
              <w:br/>
              <w:br/>
              <w:br/>
            </w:r>
          </w:p>
          <w:p>
            <w:pPr>
              <w:pStyle w:val="Normal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cs="Arial" w:ascii="Arial" w:hAnsi="Arial"/>
                <w:b/>
                <w:sz w:val="18"/>
                <w:szCs w:val="18"/>
              </w:rPr>
              <w:t>€</w:t>
            </w:r>
          </w:p>
        </w:tc>
      </w:tr>
      <w:tr>
        <w:trPr>
          <w:trHeight w:val="425" w:hRule="atLeast"/>
          <w:cantSplit w:val="true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1"/>
                <w:numId w:val="2"/>
              </w:numPr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0"/>
                <w:numId w:val="0"/>
              </w:numPr>
              <w:spacing w:before="0" w:after="0"/>
              <w:ind w:hanging="0" w:left="0"/>
              <w:rPr>
                <w:iCs w:val="false"/>
                <w:sz w:val="18"/>
                <w:szCs w:val="18"/>
              </w:rPr>
            </w:pPr>
            <w:r>
              <w:rPr>
                <w:iCs w:val="false"/>
                <w:sz w:val="18"/>
                <w:szCs w:val="18"/>
              </w:rPr>
              <w:t>Eigene Lohnkosten</w:t>
            </w:r>
          </w:p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Verrechnungslohn (1.6)</w:t>
              <w:tab/>
              <w:t>x Gesamtstunden</w:t>
            </w:r>
          </w:p>
        </w:tc>
        <w:tc>
          <w:tcPr>
            <w:tcW w:w="1701" w:type="dxa"/>
            <w:tcBorders>
              <w:top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70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</w:tr>
      <w:tr>
        <w:trPr>
          <w:trHeight w:val="425" w:hRule="atLeast"/>
          <w:cantSplit w:val="true"/>
        </w:trPr>
        <w:tc>
          <w:tcPr>
            <w:tcW w:w="56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4252" w:type="dxa"/>
            <w:tcBorders>
              <w:left w:val="single" w:sz="8" w:space="0" w:color="000000"/>
              <w:bottom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ab/>
              <w:tab/>
              <w:tab/>
              <w:t>x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70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</w:tr>
      <w:tr>
        <w:trPr>
          <w:trHeight w:val="567" w:hRule="atLeast"/>
          <w:cantSplit w:val="true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1"/>
                <w:numId w:val="2"/>
              </w:numPr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425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0"/>
                <w:numId w:val="0"/>
              </w:numPr>
              <w:spacing w:before="0" w:after="0"/>
              <w:ind w:hanging="0" w:left="0"/>
              <w:rPr>
                <w:iCs w:val="false"/>
                <w:sz w:val="18"/>
                <w:szCs w:val="18"/>
              </w:rPr>
            </w:pPr>
            <w:r>
              <w:rPr>
                <w:iCs w:val="false"/>
                <w:sz w:val="18"/>
                <w:szCs w:val="18"/>
              </w:rPr>
              <w:t>Stoffkosten</w:t>
            </w:r>
          </w:p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(einschl. Kosten für Hilfsstoffe)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b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</w:tr>
      <w:tr>
        <w:trPr>
          <w:trHeight w:val="567" w:hRule="atLeast"/>
          <w:cantSplit w:val="true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1"/>
                <w:numId w:val="2"/>
              </w:numPr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0"/>
                <w:numId w:val="0"/>
              </w:numPr>
              <w:spacing w:before="0" w:after="0"/>
              <w:ind w:hanging="0" w:left="0"/>
              <w:rPr>
                <w:iCs w:val="false"/>
                <w:sz w:val="18"/>
                <w:szCs w:val="18"/>
              </w:rPr>
            </w:pPr>
            <w:r>
              <w:rPr>
                <w:iCs w:val="false"/>
                <w:sz w:val="18"/>
                <w:szCs w:val="18"/>
              </w:rPr>
              <w:t>Gerätekosten</w:t>
            </w:r>
          </w:p>
          <w:p>
            <w:pPr>
              <w:pStyle w:val="Normal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cs="Arial" w:ascii="Arial" w:hAnsi="Arial"/>
                <w:spacing w:val="-2"/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</w:tr>
      <w:tr>
        <w:trPr>
          <w:trHeight w:val="567" w:hRule="atLeast"/>
          <w:cantSplit w:val="true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1"/>
                <w:numId w:val="2"/>
              </w:numPr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0"/>
                <w:numId w:val="0"/>
              </w:numPr>
              <w:spacing w:before="0" w:after="0"/>
              <w:ind w:hanging="0" w:left="0"/>
              <w:rPr>
                <w:iCs w:val="false"/>
                <w:sz w:val="18"/>
                <w:szCs w:val="18"/>
              </w:rPr>
            </w:pPr>
            <w:r>
              <w:rPr>
                <w:iCs w:val="false"/>
                <w:sz w:val="18"/>
                <w:szCs w:val="18"/>
              </w:rPr>
              <w:t>Sonstige Kosten</w:t>
            </w:r>
          </w:p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(vom Bieter zu erläutern)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</w:tr>
      <w:tr>
        <w:trPr>
          <w:trHeight w:val="567" w:hRule="atLeast"/>
          <w:cantSplit w:val="true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1"/>
                <w:numId w:val="2"/>
              </w:numPr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0"/>
                <w:numId w:val="0"/>
              </w:numPr>
              <w:spacing w:before="0" w:after="0"/>
              <w:ind w:hanging="0" w:left="0"/>
              <w:rPr>
                <w:iCs w:val="false"/>
                <w:sz w:val="18"/>
                <w:szCs w:val="18"/>
              </w:rPr>
            </w:pPr>
            <w:r>
              <w:rPr>
                <w:iCs w:val="false"/>
                <w:sz w:val="18"/>
                <w:szCs w:val="18"/>
              </w:rPr>
              <w:t xml:space="preserve">Nachunternehmerleistungen </w:t>
            </w:r>
            <w:r>
              <w:rPr>
                <w:iCs w:val="false"/>
                <w:sz w:val="18"/>
                <w:szCs w:val="18"/>
                <w:vertAlign w:val="superscript"/>
              </w:rPr>
              <w:t>*)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</w:tr>
      <w:tr>
        <w:trPr>
          <w:trHeight w:val="567" w:hRule="atLeast"/>
          <w:cantSplit w:val="true"/>
        </w:trPr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0"/>
                <w:numId w:val="0"/>
              </w:numPr>
              <w:spacing w:before="0" w:after="0"/>
              <w:ind w:hanging="0" w:left="0"/>
              <w:rPr>
                <w:iCs w:val="false"/>
                <w:sz w:val="18"/>
                <w:szCs w:val="18"/>
              </w:rPr>
            </w:pPr>
            <w:r>
              <w:rPr>
                <w:iCs w:val="false"/>
                <w:sz w:val="18"/>
                <w:szCs w:val="18"/>
              </w:rPr>
              <w:t>Angebotssumme ohne Umsatzsteuer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</w:tr>
    </w:tbl>
    <w:p>
      <w:pPr>
        <w:pStyle w:val="FootnoteText"/>
        <w:snapToGrid w:val="false"/>
        <w:ind w:hanging="284" w:left="284"/>
        <w:rPr>
          <w:rFonts w:ascii="Arial" w:hAnsi="Arial" w:cs="Arial"/>
          <w:i/>
          <w:i/>
          <w:sz w:val="16"/>
          <w:szCs w:val="16"/>
        </w:rPr>
      </w:pPr>
      <w:r>
        <w:rPr>
          <w:rStyle w:val="FootnoteCharacters"/>
          <w:rFonts w:cs="Arial" w:ascii="Arial" w:hAnsi="Arial"/>
          <w:i/>
          <w:sz w:val="16"/>
          <w:szCs w:val="16"/>
        </w:rPr>
        <w:t>*)</w:t>
      </w:r>
      <w:r>
        <w:rPr>
          <w:rFonts w:cs="Arial" w:ascii="Arial" w:hAnsi="Arial"/>
          <w:i/>
          <w:sz w:val="16"/>
          <w:szCs w:val="16"/>
        </w:rPr>
        <w:tab/>
        <w:t>Auf Verlangen sind für diese Leistungen die Angaben zur Kalkulation der(s) Nachunternehmer(s) der Auftraggeberin vorzulegen.</w:t>
      </w:r>
    </w:p>
    <w:p>
      <w:pPr>
        <w:pStyle w:val="Normal"/>
        <w:rPr>
          <w:rFonts w:ascii="Arial" w:hAnsi="Arial" w:cs="Arial"/>
          <w:sz w:val="10"/>
          <w:szCs w:val="10"/>
        </w:rPr>
      </w:pPr>
      <w:r>
        <w:rPr>
          <w:rFonts w:cs="Arial" w:ascii="Arial" w:hAnsi="Arial"/>
          <w:sz w:val="10"/>
          <w:szCs w:val="10"/>
        </w:rPr>
      </w:r>
    </w:p>
    <w:p>
      <w:pPr>
        <w:pStyle w:val="Normal"/>
        <w:rPr>
          <w:rFonts w:ascii="Arial" w:hAnsi="Arial" w:cs="Arial"/>
          <w:sz w:val="10"/>
          <w:szCs w:val="10"/>
        </w:rPr>
      </w:pPr>
      <w:r>
        <w:rPr>
          <w:rFonts w:cs="Arial" w:ascii="Arial" w:hAnsi="Arial"/>
          <w:sz w:val="10"/>
          <w:szCs w:val="10"/>
        </w:rPr>
      </w:r>
    </w:p>
    <w:p>
      <w:pPr>
        <w:pStyle w:val="Normal"/>
        <w:rPr>
          <w:rFonts w:ascii="Arial" w:hAnsi="Arial" w:cs="Arial"/>
          <w:sz w:val="10"/>
          <w:szCs w:val="10"/>
        </w:rPr>
      </w:pPr>
      <w:r>
        <w:rPr>
          <w:rFonts w:cs="Arial" w:ascii="Arial" w:hAnsi="Arial"/>
          <w:sz w:val="10"/>
          <w:szCs w:val="10"/>
        </w:rPr>
      </w:r>
    </w:p>
    <w:p>
      <w:pPr>
        <w:pStyle w:val="Normal"/>
        <w:rPr>
          <w:rFonts w:ascii="Arial" w:hAnsi="Arial" w:cs="Arial"/>
          <w:sz w:val="10"/>
          <w:szCs w:val="10"/>
        </w:rPr>
      </w:pPr>
      <w:r>
        <w:rPr>
          <w:rFonts w:cs="Arial" w:ascii="Arial" w:hAnsi="Arial"/>
          <w:sz w:val="10"/>
          <w:szCs w:val="10"/>
        </w:rPr>
      </w:r>
    </w:p>
    <w:p>
      <w:pPr>
        <w:pStyle w:val="Normal"/>
        <w:rPr>
          <w:rFonts w:ascii="Arial" w:hAnsi="Arial" w:cs="Arial"/>
          <w:sz w:val="10"/>
          <w:szCs w:val="10"/>
        </w:rPr>
      </w:pPr>
      <w:r>
        <w:rPr>
          <w:rFonts w:cs="Arial" w:ascii="Arial" w:hAnsi="Arial"/>
          <w:sz w:val="10"/>
          <w:szCs w:val="10"/>
        </w:rPr>
      </w:r>
    </w:p>
    <w:p>
      <w:pPr>
        <w:pStyle w:val="Normal"/>
        <w:rPr>
          <w:rFonts w:ascii="Arial" w:hAnsi="Arial" w:cs="Arial"/>
          <w:sz w:val="10"/>
          <w:szCs w:val="10"/>
        </w:rPr>
      </w:pPr>
      <w:r>
        <w:rPr>
          <w:rFonts w:cs="Arial" w:ascii="Arial" w:hAnsi="Arial"/>
          <w:sz w:val="10"/>
          <w:szCs w:val="10"/>
        </w:rPr>
      </w:r>
    </w:p>
    <w:p>
      <w:pPr>
        <w:pStyle w:val="Normal"/>
        <w:rPr>
          <w:rFonts w:ascii="Arial" w:hAnsi="Arial" w:cs="Arial"/>
          <w:sz w:val="10"/>
          <w:szCs w:val="10"/>
        </w:rPr>
      </w:pPr>
      <w:r>
        <w:rPr>
          <w:rFonts w:cs="Arial" w:ascii="Arial" w:hAnsi="Arial"/>
          <w:sz w:val="10"/>
          <w:szCs w:val="10"/>
        </w:rPr>
      </w:r>
    </w:p>
    <w:p>
      <w:pPr>
        <w:pStyle w:val="Normal"/>
        <w:rPr>
          <w:rFonts w:ascii="Arial" w:hAnsi="Arial" w:cs="Arial"/>
          <w:sz w:val="10"/>
          <w:szCs w:val="10"/>
        </w:rPr>
      </w:pPr>
      <w:r>
        <w:rPr>
          <w:rFonts w:cs="Arial" w:ascii="Arial" w:hAnsi="Arial"/>
          <w:sz w:val="10"/>
          <w:szCs w:val="10"/>
        </w:rPr>
      </w:r>
    </w:p>
    <w:p>
      <w:pPr>
        <w:pStyle w:val="Normal"/>
        <w:rPr>
          <w:rFonts w:ascii="Arial" w:hAnsi="Arial" w:cs="Arial"/>
          <w:sz w:val="10"/>
          <w:szCs w:val="10"/>
        </w:rPr>
      </w:pPr>
      <w:r>
        <w:rPr>
          <w:rFonts w:cs="Arial" w:ascii="Arial" w:hAnsi="Arial"/>
          <w:sz w:val="10"/>
          <w:szCs w:val="10"/>
        </w:rPr>
      </w:r>
    </w:p>
    <w:p>
      <w:pPr>
        <w:pStyle w:val="Normal"/>
        <w:rPr>
          <w:rFonts w:ascii="Arial" w:hAnsi="Arial" w:cs="Arial"/>
          <w:sz w:val="10"/>
          <w:szCs w:val="10"/>
        </w:rPr>
      </w:pPr>
      <w:r>
        <w:rPr>
          <w:rFonts w:cs="Arial" w:ascii="Arial" w:hAnsi="Arial"/>
          <w:sz w:val="10"/>
          <w:szCs w:val="10"/>
        </w:rPr>
      </w:r>
    </w:p>
    <w:p>
      <w:pPr>
        <w:pStyle w:val="Normal"/>
        <w:rPr>
          <w:rFonts w:ascii="Arial" w:hAnsi="Arial" w:cs="Arial"/>
          <w:sz w:val="10"/>
          <w:szCs w:val="10"/>
        </w:rPr>
      </w:pPr>
      <w:r>
        <w:rPr>
          <w:rFonts w:cs="Arial" w:ascii="Arial" w:hAnsi="Arial"/>
          <w:sz w:val="10"/>
          <w:szCs w:val="10"/>
        </w:rPr>
      </w:r>
    </w:p>
    <w:p>
      <w:pPr>
        <w:pStyle w:val="Normal"/>
        <w:rPr>
          <w:rFonts w:ascii="Arial" w:hAnsi="Arial" w:cs="Arial"/>
          <w:sz w:val="10"/>
          <w:szCs w:val="10"/>
        </w:rPr>
      </w:pPr>
      <w:r>
        <w:rPr>
          <w:rFonts w:cs="Arial" w:ascii="Arial" w:hAnsi="Arial"/>
          <w:sz w:val="10"/>
          <w:szCs w:val="10"/>
        </w:rPr>
      </w:r>
    </w:p>
    <w:p>
      <w:pPr>
        <w:pStyle w:val="Normal"/>
        <w:rPr>
          <w:rFonts w:ascii="Arial" w:hAnsi="Arial" w:cs="Arial"/>
          <w:sz w:val="10"/>
          <w:szCs w:val="10"/>
        </w:rPr>
      </w:pPr>
      <w:r>
        <w:rPr>
          <w:rFonts w:cs="Arial" w:ascii="Arial" w:hAnsi="Arial"/>
          <w:sz w:val="10"/>
          <w:szCs w:val="10"/>
        </w:rPr>
      </w:r>
    </w:p>
    <w:p>
      <w:pPr>
        <w:pStyle w:val="Normal"/>
        <w:rPr>
          <w:rFonts w:ascii="Arial" w:hAnsi="Arial" w:cs="Arial"/>
          <w:sz w:val="10"/>
          <w:szCs w:val="10"/>
        </w:rPr>
      </w:pPr>
      <w:r>
        <w:rPr>
          <w:rFonts w:cs="Arial" w:ascii="Arial" w:hAnsi="Arial"/>
          <w:sz w:val="10"/>
          <w:szCs w:val="10"/>
        </w:rPr>
      </w:r>
    </w:p>
    <w:p>
      <w:pPr>
        <w:pStyle w:val="Normal"/>
        <w:rPr>
          <w:rFonts w:ascii="Arial" w:hAnsi="Arial" w:cs="Arial"/>
          <w:sz w:val="10"/>
          <w:szCs w:val="10"/>
        </w:rPr>
      </w:pPr>
      <w:r>
        <w:rPr>
          <w:rFonts w:cs="Arial" w:ascii="Arial" w:hAnsi="Arial"/>
          <w:sz w:val="10"/>
          <w:szCs w:val="10"/>
        </w:rPr>
      </w:r>
    </w:p>
    <w:p>
      <w:pPr>
        <w:pStyle w:val="Normal"/>
        <w:rPr>
          <w:rFonts w:ascii="Arial" w:hAnsi="Arial" w:cs="Arial"/>
          <w:sz w:val="10"/>
          <w:szCs w:val="10"/>
        </w:rPr>
      </w:pPr>
      <w:r>
        <w:rPr>
          <w:rFonts w:cs="Arial" w:ascii="Arial" w:hAnsi="Arial"/>
          <w:sz w:val="10"/>
          <w:szCs w:val="10"/>
        </w:rPr>
      </w:r>
    </w:p>
    <w:p>
      <w:pPr>
        <w:pStyle w:val="Normal"/>
        <w:rPr>
          <w:rFonts w:ascii="Arial" w:hAnsi="Arial" w:cs="Arial"/>
          <w:sz w:val="10"/>
          <w:szCs w:val="10"/>
        </w:rPr>
      </w:pPr>
      <w:r>
        <w:rPr>
          <w:rFonts w:cs="Arial" w:ascii="Arial" w:hAnsi="Arial"/>
          <w:sz w:val="10"/>
          <w:szCs w:val="10"/>
        </w:rPr>
      </w:r>
    </w:p>
    <w:p>
      <w:pPr>
        <w:pStyle w:val="Normal"/>
        <w:rPr>
          <w:rFonts w:ascii="Arial" w:hAnsi="Arial" w:cs="Arial"/>
          <w:sz w:val="10"/>
          <w:szCs w:val="10"/>
        </w:rPr>
      </w:pPr>
      <w:r>
        <w:rPr>
          <w:rFonts w:cs="Arial" w:ascii="Arial" w:hAnsi="Arial"/>
          <w:sz w:val="10"/>
          <w:szCs w:val="10"/>
        </w:rPr>
      </w:r>
    </w:p>
    <w:p>
      <w:pPr>
        <w:pStyle w:val="Normal"/>
        <w:rPr>
          <w:rFonts w:ascii="Arial" w:hAnsi="Arial" w:cs="Arial"/>
          <w:sz w:val="10"/>
          <w:szCs w:val="10"/>
        </w:rPr>
      </w:pPr>
      <w:r>
        <w:rPr>
          <w:rFonts w:cs="Arial" w:ascii="Arial" w:hAnsi="Arial"/>
          <w:sz w:val="10"/>
          <w:szCs w:val="10"/>
        </w:rPr>
      </w:r>
    </w:p>
    <w:p>
      <w:pPr>
        <w:pStyle w:val="Normal"/>
        <w:rPr>
          <w:rFonts w:ascii="Arial" w:hAnsi="Arial" w:cs="Arial"/>
          <w:sz w:val="10"/>
          <w:szCs w:val="10"/>
        </w:rPr>
      </w:pPr>
      <w:r>
        <w:rPr>
          <w:rFonts w:cs="Arial" w:ascii="Arial" w:hAnsi="Arial"/>
          <w:sz w:val="10"/>
          <w:szCs w:val="10"/>
        </w:rPr>
      </w:r>
    </w:p>
    <w:p>
      <w:pPr>
        <w:pStyle w:val="Normal"/>
        <w:rPr>
          <w:rFonts w:ascii="Arial" w:hAnsi="Arial" w:cs="Arial"/>
          <w:sz w:val="10"/>
          <w:szCs w:val="10"/>
        </w:rPr>
      </w:pPr>
      <w:r>
        <w:rPr>
          <w:rFonts w:cs="Arial" w:ascii="Arial" w:hAnsi="Arial"/>
          <w:sz w:val="10"/>
          <w:szCs w:val="10"/>
        </w:rPr>
      </w:r>
    </w:p>
    <w:p>
      <w:pPr>
        <w:pStyle w:val="Normal"/>
        <w:rPr>
          <w:rFonts w:ascii="Arial" w:hAnsi="Arial" w:cs="Arial"/>
          <w:sz w:val="10"/>
          <w:szCs w:val="10"/>
        </w:rPr>
      </w:pPr>
      <w:r>
        <w:rPr>
          <w:rFonts w:cs="Arial" w:ascii="Arial" w:hAnsi="Arial"/>
          <w:sz w:val="10"/>
          <w:szCs w:val="10"/>
        </w:rPr>
      </w:r>
    </w:p>
    <w:p>
      <w:pPr>
        <w:pStyle w:val="Title"/>
        <w:spacing w:before="960" w:after="480"/>
        <w:jc w:val="left"/>
        <w:rPr>
          <w:caps/>
          <w:spacing w:val="5"/>
          <w:sz w:val="22"/>
          <w:szCs w:val="22"/>
        </w:rPr>
      </w:pPr>
      <w:r>
        <w:rPr>
          <w:sz w:val="22"/>
          <w:szCs w:val="22"/>
          <w:u w:val="single"/>
        </w:rPr>
        <w:t>Teil B:</w:t>
      </w:r>
      <w:r>
        <w:rPr>
          <w:sz w:val="22"/>
          <w:szCs w:val="22"/>
        </w:rPr>
        <w:t xml:space="preserve"> </w:t>
        <w:tab/>
      </w:r>
      <w:r>
        <w:rPr>
          <w:caps/>
          <w:spacing w:val="5"/>
          <w:sz w:val="22"/>
          <w:szCs w:val="22"/>
        </w:rPr>
        <w:t>KALKULATION über die Endsumme</w:t>
      </w:r>
    </w:p>
    <w:tbl>
      <w:tblPr>
        <w:tblW w:w="9640" w:type="dxa"/>
        <w:jc w:val="left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noHBand="0" w:noVBand="0" w:firstColumn="1" w:lastRow="1" w:lastColumn="1" w:firstRow="1"/>
      </w:tblPr>
      <w:tblGrid>
        <w:gridCol w:w="562"/>
        <w:gridCol w:w="7658"/>
        <w:gridCol w:w="1420"/>
      </w:tblGrid>
      <w:tr>
        <w:trPr>
          <w:trHeight w:val="430" w:hRule="atLeast"/>
          <w:cantSplit w:val="true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  <w:numId w:val="4"/>
              </w:numPr>
              <w:snapToGrid w:val="false"/>
              <w:spacing w:beforeAutospacing="0" w:before="0" w:afterAutospacing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  <w:numId w:val="0"/>
              </w:numPr>
              <w:snapToGrid w:val="false"/>
              <w:spacing w:beforeAutospacing="0" w:before="0" w:afterAutospacing="0" w:after="0"/>
              <w:ind w:hanging="0"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Angaben über den Verrechnungslohn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cs="Arial" w:ascii="Arial" w:hAnsi="Arial"/>
                <w:b/>
                <w:sz w:val="18"/>
                <w:szCs w:val="18"/>
              </w:rPr>
              <w:t>Lohn</w:t>
              <w:br/>
              <w:t>€/h</w:t>
            </w:r>
          </w:p>
        </w:tc>
      </w:tr>
      <w:tr>
        <w:trPr>
          <w:trHeight w:val="567" w:hRule="atLeast"/>
          <w:cantSplit w:val="true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1"/>
                <w:numId w:val="2"/>
              </w:numPr>
              <w:snapToGrid w:val="false"/>
              <w:spacing w:before="0" w:after="0"/>
              <w:ind w:hanging="0"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0"/>
                <w:numId w:val="0"/>
              </w:numPr>
              <w:snapToGrid w:val="false"/>
              <w:spacing w:before="0" w:after="0"/>
              <w:ind w:hanging="0"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Mittellohn ML</w:t>
            </w:r>
          </w:p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einschl. Lohnzulagen und Lohnerhöhung, wenn keine Lohngleitklausel vereinbart wird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310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</w:tr>
      <w:tr>
        <w:trPr>
          <w:trHeight w:val="567" w:hRule="atLeast"/>
          <w:cantSplit w:val="true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1"/>
                <w:numId w:val="2"/>
              </w:numPr>
              <w:snapToGrid w:val="false"/>
              <w:spacing w:before="0" w:after="0"/>
              <w:ind w:hanging="0"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0"/>
                <w:numId w:val="0"/>
              </w:numPr>
              <w:snapToGrid w:val="false"/>
              <w:spacing w:before="0" w:after="0"/>
              <w:ind w:hanging="0"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Lohnzusatzkosten</w:t>
            </w:r>
          </w:p>
          <w:p>
            <w:pPr>
              <w:pStyle w:val="Normal"/>
              <w:snapToGrid w:val="false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cs="Arial" w:ascii="Arial" w:hAnsi="Arial"/>
                <w:spacing w:val="-2"/>
                <w:sz w:val="18"/>
                <w:szCs w:val="18"/>
              </w:rPr>
              <w:t>Sozialkosten, Soziallöhne und lohnbezogene Kosten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</w:tr>
      <w:tr>
        <w:trPr>
          <w:trHeight w:val="567" w:hRule="atLeast"/>
          <w:cantSplit w:val="true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1"/>
                <w:numId w:val="2"/>
              </w:numPr>
              <w:snapToGrid w:val="false"/>
              <w:spacing w:before="0" w:after="0"/>
              <w:ind w:hanging="0"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0"/>
                <w:numId w:val="0"/>
              </w:numPr>
              <w:snapToGrid w:val="false"/>
              <w:spacing w:before="0" w:after="0"/>
              <w:ind w:hanging="0"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Lohnnebenkosten</w:t>
            </w:r>
          </w:p>
          <w:p>
            <w:pPr>
              <w:pStyle w:val="Normal"/>
              <w:snapToGrid w:val="false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Auslösungen, Fahrgelder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</w:tr>
      <w:tr>
        <w:trPr>
          <w:trHeight w:val="567" w:hRule="atLeast"/>
          <w:cantSplit w:val="true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1"/>
                <w:numId w:val="2"/>
              </w:numPr>
              <w:snapToGrid w:val="false"/>
              <w:spacing w:before="0" w:after="0"/>
              <w:ind w:hanging="0"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0"/>
                <w:numId w:val="0"/>
              </w:numPr>
              <w:snapToGrid w:val="false"/>
              <w:spacing w:before="0" w:after="0"/>
              <w:ind w:hanging="0"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Kalkulationslohn KL</w:t>
            </w:r>
          </w:p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(Summe 1.1 bis 1.3)</w:t>
            </w:r>
          </w:p>
        </w:tc>
        <w:tc>
          <w:tcPr>
            <w:tcW w:w="14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</w:tr>
    </w:tbl>
    <w:p>
      <w:pPr>
        <w:pStyle w:val="Heading1"/>
        <w:numPr>
          <w:ilvl w:val="0"/>
          <w:numId w:val="0"/>
        </w:numPr>
        <w:snapToGrid w:val="false"/>
        <w:spacing w:beforeAutospacing="0" w:before="120" w:afterAutospacing="0" w:after="120"/>
        <w:ind w:hanging="0" w:left="0"/>
        <w:rPr>
          <w:b w:val="false"/>
          <w:sz w:val="18"/>
          <w:szCs w:val="18"/>
        </w:rPr>
      </w:pPr>
      <w:r>
        <w:rPr>
          <w:b w:val="false"/>
          <w:sz w:val="18"/>
          <w:szCs w:val="18"/>
        </w:rPr>
        <w:t>Berechnung des Verrechnungslohnes nach Ermittlung der Angebotssumme (unten Nr. 2)</w:t>
      </w:r>
    </w:p>
    <w:tbl>
      <w:tblPr>
        <w:tblW w:w="9641" w:type="dxa"/>
        <w:jc w:val="left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noHBand="0" w:noVBand="0" w:firstColumn="1" w:lastRow="1" w:lastColumn="1" w:firstRow="1"/>
      </w:tblPr>
      <w:tblGrid>
        <w:gridCol w:w="563"/>
        <w:gridCol w:w="4254"/>
        <w:gridCol w:w="1985"/>
        <w:gridCol w:w="1416"/>
        <w:gridCol w:w="1423"/>
      </w:tblGrid>
      <w:tr>
        <w:trPr>
          <w:trHeight w:val="567" w:hRule="atLeast"/>
          <w:cantSplit w:val="true"/>
        </w:trPr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1"/>
                <w:numId w:val="2"/>
              </w:numPr>
              <w:snapToGrid w:val="false"/>
              <w:spacing w:before="0" w:after="0"/>
              <w:ind w:hanging="0"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4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0"/>
                <w:numId w:val="0"/>
              </w:numPr>
              <w:snapToGrid w:val="false"/>
              <w:spacing w:before="0" w:after="0"/>
              <w:ind w:hanging="0"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Umlage auf Lohn</w:t>
            </w:r>
          </w:p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(Kalkulationslohn x v.H. Umlage aus 2.1)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ind w:hanging="0" w:right="85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fldChar w:fldCharType="begin">
                <w:ffData>
                  <w:name w:val="Text9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b/>
                <w:sz w:val="18"/>
                <w:szCs w:val="18"/>
              </w:rPr>
              <w:t>     </w:t>
            </w:r>
            <w:r>
              <w:rPr/>
            </w:r>
            <w:r>
              <w:rPr/>
              <w:fldChar w:fldCharType="end"/>
            </w:r>
            <w:r>
              <w:rPr>
                <w:rFonts w:cs="Arial" w:ascii="Arial" w:hAnsi="Arial"/>
                <w:b/>
                <w:sz w:val="18"/>
                <w:szCs w:val="18"/>
              </w:rPr>
              <w:t xml:space="preserve"> €/h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ind w:hanging="0" w:right="85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fldChar w:fldCharType="begin">
                <w:ffData>
                  <w:name w:val="Text10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b/>
                <w:sz w:val="18"/>
                <w:szCs w:val="18"/>
              </w:rPr>
              <w:t>     </w:t>
            </w:r>
            <w:r>
              <w:rPr/>
            </w:r>
            <w:r>
              <w:rPr/>
              <w:fldChar w:fldCharType="end"/>
            </w:r>
            <w:r>
              <w:rPr>
                <w:rFonts w:cs="Arial" w:ascii="Arial" w:hAnsi="Arial"/>
                <w:b/>
                <w:sz w:val="18"/>
                <w:szCs w:val="18"/>
              </w:rPr>
              <w:t xml:space="preserve"> v.H.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</w:tr>
      <w:tr>
        <w:trPr>
          <w:trHeight w:val="567" w:hRule="atLeast"/>
          <w:cantSplit w:val="true"/>
        </w:trPr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1"/>
                <w:numId w:val="2"/>
              </w:numPr>
              <w:snapToGrid w:val="false"/>
              <w:spacing w:before="0" w:after="0"/>
              <w:ind w:hanging="0"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76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0"/>
                <w:numId w:val="0"/>
              </w:numPr>
              <w:snapToGrid w:val="false"/>
              <w:spacing w:before="0" w:after="0"/>
              <w:ind w:hanging="0"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Verrechnungslohn VL</w:t>
            </w:r>
          </w:p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(Summe 1.4 und 1.5)</w:t>
            </w:r>
          </w:p>
        </w:tc>
        <w:tc>
          <w:tcPr>
            <w:tcW w:w="14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</w:tr>
    </w:tbl>
    <w:p>
      <w:pPr>
        <w:pStyle w:val="Normal"/>
        <w:spacing w:before="120" w:after="120"/>
        <w:rPr>
          <w:sz w:val="10"/>
          <w:szCs w:val="10"/>
        </w:rPr>
      </w:pPr>
      <w:r>
        <w:rPr>
          <w:sz w:val="10"/>
          <w:szCs w:val="10"/>
        </w:rPr>
      </w:r>
    </w:p>
    <w:tbl>
      <w:tblPr>
        <w:tblW w:w="9645" w:type="dxa"/>
        <w:jc w:val="left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noHBand="0" w:noVBand="0" w:firstColumn="1" w:lastRow="1" w:lastColumn="1" w:firstRow="1"/>
      </w:tblPr>
      <w:tblGrid>
        <w:gridCol w:w="567"/>
        <w:gridCol w:w="4252"/>
        <w:gridCol w:w="1276"/>
        <w:gridCol w:w="1276"/>
        <w:gridCol w:w="288"/>
        <w:gridCol w:w="987"/>
        <w:gridCol w:w="998"/>
      </w:tblGrid>
      <w:tr>
        <w:trPr>
          <w:trHeight w:val="370" w:hRule="atLeast"/>
          <w:cantSplit w:val="true"/>
        </w:trPr>
        <w:tc>
          <w:tcPr>
            <w:tcW w:w="4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Heading1"/>
              <w:numPr>
                <w:ilvl w:val="0"/>
                <w:numId w:val="0"/>
              </w:numPr>
              <w:spacing w:beforeAutospacing="0" w:before="120" w:afterAutospacing="0" w:after="0"/>
              <w:ind w:hanging="0"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Ermittlung der Angebotssumme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Betrag</w:t>
              <w:br/>
            </w:r>
            <w:r>
              <w:rPr>
                <w:rFonts w:cs="Arial" w:ascii="Arial" w:hAnsi="Arial"/>
                <w:b/>
                <w:sz w:val="18"/>
                <w:szCs w:val="18"/>
              </w:rPr>
              <w:t>€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Gesamt</w:t>
              <w:br/>
            </w:r>
            <w:r>
              <w:rPr>
                <w:rFonts w:cs="Arial" w:ascii="Arial" w:hAnsi="Arial"/>
                <w:b/>
                <w:sz w:val="18"/>
                <w:szCs w:val="18"/>
              </w:rPr>
              <w:t>€</w:t>
            </w:r>
          </w:p>
        </w:tc>
        <w:tc>
          <w:tcPr>
            <w:tcW w:w="288" w:type="dxa"/>
            <w:tcBorders>
              <w:left w:val="single" w:sz="6" w:space="0" w:color="000000"/>
              <w:right w:val="single" w:sz="6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cs="Arial" w:ascii="Arial" w:hAnsi="Arial"/>
                <w:b/>
                <w:sz w:val="18"/>
                <w:szCs w:val="18"/>
              </w:rPr>
            </w:r>
          </w:p>
        </w:tc>
        <w:tc>
          <w:tcPr>
            <w:tcW w:w="198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Umlage Summe 3</w:t>
            </w:r>
          </w:p>
          <w:p>
            <w:pPr>
              <w:pStyle w:val="Normal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auf die Einzelkosten</w:t>
            </w:r>
          </w:p>
          <w:p>
            <w:pPr>
              <w:pStyle w:val="Normal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für die Ermittlung der</w:t>
            </w:r>
          </w:p>
          <w:p>
            <w:pPr>
              <w:pStyle w:val="Normal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EH-Preise</w:t>
            </w:r>
          </w:p>
        </w:tc>
      </w:tr>
      <w:tr>
        <w:trPr>
          <w:trHeight w:val="567" w:hRule="atLeast"/>
          <w:cantSplit w:val="true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  <w:numId w:val="2"/>
              </w:numPr>
              <w:snapToGrid w:val="false"/>
              <w:spacing w:beforeAutospacing="0" w:before="0" w:afterAutospacing="0" w:after="0"/>
              <w:rPr/>
            </w:pPr>
            <w:r>
              <w:rPr/>
            </w:r>
          </w:p>
        </w:tc>
        <w:tc>
          <w:tcPr>
            <w:tcW w:w="68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  <w:numId w:val="0"/>
              </w:numPr>
              <w:spacing w:beforeAutospacing="0" w:before="0" w:afterAutospacing="0" w:after="0"/>
              <w:ind w:hanging="0"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Einzelkosten der Teilleistungen = unmittelbare Herstellungskosten</w:t>
            </w:r>
          </w:p>
        </w:tc>
        <w:tc>
          <w:tcPr>
            <w:tcW w:w="288" w:type="dxa"/>
            <w:tcBorders>
              <w:left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  <w:numId w:val="0"/>
              </w:numPr>
              <w:spacing w:beforeAutospacing="0" w:before="0" w:afterAutospacing="0" w:after="0"/>
              <w:ind w:hanging="0"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985" w:type="dxa"/>
            <w:gridSpan w:val="2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  <w:numId w:val="0"/>
              </w:numPr>
              <w:spacing w:beforeAutospacing="0" w:before="0" w:afterAutospacing="0" w:after="0"/>
              <w:ind w:hanging="0" w:left="0"/>
              <w:jc w:val="center"/>
              <w:rPr>
                <w:b w:val="false"/>
                <w:sz w:val="18"/>
                <w:szCs w:val="18"/>
              </w:rPr>
            </w:pPr>
            <w:r>
              <w:rPr>
                <w:b w:val="false"/>
                <w:sz w:val="18"/>
                <w:szCs w:val="18"/>
              </w:rPr>
            </w:r>
          </w:p>
        </w:tc>
      </w:tr>
      <w:tr>
        <w:trPr>
          <w:trHeight w:val="425" w:hRule="atLeast"/>
          <w:cantSplit w:val="true"/>
        </w:trPr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1"/>
                <w:numId w:val="2"/>
              </w:numPr>
              <w:spacing w:before="0" w:after="0"/>
              <w:ind w:hanging="0"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425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0"/>
                <w:numId w:val="0"/>
              </w:numPr>
              <w:spacing w:before="0" w:after="0"/>
              <w:ind w:hanging="0" w:left="0"/>
              <w:rPr>
                <w:iCs w:val="false"/>
                <w:sz w:val="18"/>
                <w:szCs w:val="18"/>
              </w:rPr>
            </w:pPr>
            <w:r>
              <w:rPr>
                <w:iCs w:val="false"/>
                <w:sz w:val="18"/>
                <w:szCs w:val="18"/>
              </w:rPr>
              <w:t>Eigene Lohnkosten</w:t>
            </w:r>
          </w:p>
          <w:p>
            <w:pPr>
              <w:pStyle w:val="Normal"/>
              <w:tabs>
                <w:tab w:val="clear" w:pos="709"/>
                <w:tab w:val="left" w:pos="1786" w:leader="none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Kalkulationslohn (1.4)</w:t>
              <w:tab/>
              <w:t>x Gesamtstunden:</w:t>
            </w:r>
          </w:p>
          <w:p>
            <w:pPr>
              <w:pStyle w:val="Normal"/>
              <w:tabs>
                <w:tab w:val="clear" w:pos="709"/>
                <w:tab w:val="left" w:pos="1786" w:leader="none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  <w:p>
            <w:pPr>
              <w:pStyle w:val="Normal"/>
              <w:tabs>
                <w:tab w:val="clear" w:pos="709"/>
                <w:tab w:val="left" w:pos="1786" w:leader="none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20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288" w:type="dxa"/>
            <w:tcBorders>
              <w:left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cs="Arial" w:ascii="Arial" w:hAnsi="Arial"/>
                <w:b/>
                <w:sz w:val="18"/>
                <w:szCs w:val="18"/>
              </w:rPr>
            </w:r>
          </w:p>
        </w:tc>
        <w:tc>
          <w:tcPr>
            <w:tcW w:w="9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%</w:t>
            </w:r>
          </w:p>
          <w:p>
            <w:pPr>
              <w:pStyle w:val="Normal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  <w:p>
            <w:pPr>
              <w:pStyle w:val="Normal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  <w:p>
            <w:pPr>
              <w:pStyle w:val="Normal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27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99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€</w:t>
            </w:r>
          </w:p>
          <w:p>
            <w:pPr>
              <w:pStyle w:val="Normal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  <w:p>
            <w:pPr>
              <w:pStyle w:val="Normal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  <w:p>
            <w:pPr>
              <w:pStyle w:val="Normal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28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</w:tr>
      <w:tr>
        <w:trPr>
          <w:trHeight w:val="425" w:hRule="atLeast"/>
          <w:cantSplit w:val="true"/>
        </w:trPr>
        <w:tc>
          <w:tcPr>
            <w:tcW w:w="567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4252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9"/>
                <w:tab w:val="left" w:pos="1786" w:leader="none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21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276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288" w:type="dxa"/>
            <w:tcBorders>
              <w:left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cs="Arial" w:ascii="Arial" w:hAnsi="Arial"/>
                <w:b/>
                <w:sz w:val="18"/>
                <w:szCs w:val="18"/>
              </w:rPr>
              <w:t>x</w:t>
            </w:r>
          </w:p>
        </w:tc>
        <w:tc>
          <w:tcPr>
            <w:tcW w:w="987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998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>
          <w:trHeight w:val="567" w:hRule="atLeast"/>
          <w:cantSplit w:val="true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1"/>
                <w:numId w:val="2"/>
              </w:numPr>
              <w:spacing w:before="0" w:after="0"/>
              <w:ind w:hanging="0"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0"/>
                <w:numId w:val="0"/>
              </w:numPr>
              <w:spacing w:before="0" w:after="0"/>
              <w:ind w:hanging="0" w:left="0"/>
              <w:rPr>
                <w:iCs w:val="false"/>
                <w:sz w:val="18"/>
                <w:szCs w:val="18"/>
              </w:rPr>
            </w:pPr>
            <w:r>
              <w:rPr>
                <w:iCs w:val="false"/>
                <w:sz w:val="18"/>
                <w:szCs w:val="18"/>
              </w:rPr>
              <w:t>Stoffkosten</w:t>
            </w:r>
          </w:p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(einschl. Kosten für Hilfsstoffe)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224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276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288" w:type="dxa"/>
            <w:tcBorders>
              <w:left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cs="Arial" w:ascii="Arial" w:hAnsi="Arial"/>
                <w:b/>
                <w:sz w:val="18"/>
                <w:szCs w:val="18"/>
              </w:rPr>
              <w:t>x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29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304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</w:tr>
      <w:tr>
        <w:trPr>
          <w:trHeight w:val="567" w:hRule="atLeast"/>
          <w:cantSplit w:val="true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1"/>
                <w:numId w:val="2"/>
              </w:numPr>
              <w:spacing w:before="0" w:after="0"/>
              <w:ind w:hanging="0"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0"/>
                <w:numId w:val="0"/>
              </w:numPr>
              <w:spacing w:before="0" w:after="0"/>
              <w:ind w:hanging="0" w:left="0"/>
              <w:rPr>
                <w:iCs w:val="false"/>
                <w:sz w:val="18"/>
                <w:szCs w:val="18"/>
              </w:rPr>
            </w:pPr>
            <w:r>
              <w:rPr>
                <w:iCs w:val="false"/>
                <w:sz w:val="18"/>
                <w:szCs w:val="18"/>
              </w:rPr>
              <w:t>Gerätekosten</w:t>
            </w:r>
          </w:p>
          <w:p>
            <w:pPr>
              <w:pStyle w:val="Normal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cs="Arial" w:ascii="Arial" w:hAnsi="Arial"/>
                <w:spacing w:val="-2"/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23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276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288" w:type="dxa"/>
            <w:tcBorders>
              <w:left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cs="Arial" w:ascii="Arial" w:hAnsi="Arial"/>
                <w:b/>
                <w:sz w:val="18"/>
                <w:szCs w:val="18"/>
              </w:rPr>
              <w:t>x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31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32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</w:tr>
      <w:tr>
        <w:trPr>
          <w:trHeight w:val="567" w:hRule="atLeast"/>
          <w:cantSplit w:val="true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1"/>
                <w:numId w:val="2"/>
              </w:numPr>
              <w:spacing w:before="0" w:after="0"/>
              <w:ind w:hanging="0"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0"/>
                <w:numId w:val="0"/>
              </w:numPr>
              <w:spacing w:before="0" w:after="0"/>
              <w:ind w:hanging="0" w:left="0"/>
              <w:rPr>
                <w:iCs w:val="false"/>
                <w:sz w:val="18"/>
                <w:szCs w:val="18"/>
              </w:rPr>
            </w:pPr>
            <w:r>
              <w:rPr>
                <w:iCs w:val="false"/>
                <w:sz w:val="18"/>
                <w:szCs w:val="18"/>
              </w:rPr>
              <w:t>Sonstige Kosten</w:t>
            </w:r>
          </w:p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(vom Bieter zu erläutern)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24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276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288" w:type="dxa"/>
            <w:tcBorders>
              <w:left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cs="Arial" w:ascii="Arial" w:hAnsi="Arial"/>
                <w:b/>
                <w:sz w:val="18"/>
                <w:szCs w:val="18"/>
              </w:rPr>
              <w:t>x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33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34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</w:tr>
      <w:tr>
        <w:trPr>
          <w:trHeight w:val="567" w:hRule="atLeast"/>
          <w:cantSplit w:val="true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1"/>
                <w:numId w:val="2"/>
              </w:numPr>
              <w:spacing w:before="0" w:after="0"/>
              <w:ind w:hanging="0"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0"/>
                <w:numId w:val="0"/>
              </w:numPr>
              <w:spacing w:before="0" w:after="0"/>
              <w:ind w:hanging="0" w:left="0"/>
              <w:rPr>
                <w:iCs w:val="false"/>
                <w:sz w:val="18"/>
                <w:szCs w:val="18"/>
              </w:rPr>
            </w:pPr>
            <w:r>
              <w:rPr>
                <w:iCs w:val="false"/>
                <w:sz w:val="18"/>
                <w:szCs w:val="18"/>
              </w:rPr>
              <w:t>Nachunternehmerleistungen </w:t>
            </w:r>
            <w:r>
              <w:rPr>
                <w:iCs w:val="false"/>
                <w:sz w:val="18"/>
                <w:szCs w:val="18"/>
                <w:vertAlign w:val="superscript"/>
              </w:rPr>
              <w:t>*)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25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276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288" w:type="dxa"/>
            <w:tcBorders>
              <w:left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cs="Arial" w:ascii="Arial" w:hAnsi="Arial"/>
                <w:b/>
                <w:sz w:val="18"/>
                <w:szCs w:val="18"/>
              </w:rPr>
              <w:t>x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35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36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</w:tr>
      <w:tr>
        <w:trPr>
          <w:trHeight w:val="567" w:hRule="atLeast"/>
          <w:cantSplit w:val="true"/>
        </w:trPr>
        <w:tc>
          <w:tcPr>
            <w:tcW w:w="60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0"/>
                <w:numId w:val="0"/>
              </w:numPr>
              <w:tabs>
                <w:tab w:val="clear" w:pos="709"/>
                <w:tab w:val="left" w:pos="3287" w:leader="none"/>
              </w:tabs>
              <w:spacing w:before="0" w:after="0"/>
              <w:ind w:hanging="0" w:left="0"/>
              <w:rPr>
                <w:iCs w:val="false"/>
                <w:sz w:val="18"/>
                <w:szCs w:val="18"/>
              </w:rPr>
            </w:pPr>
            <w:r>
              <w:rPr>
                <w:iCs w:val="false"/>
                <w:sz w:val="18"/>
                <w:szCs w:val="18"/>
              </w:rPr>
              <w:t>Einzelkosten der Teilleistungen (Summe 2)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0"/>
                <w:numId w:val="0"/>
              </w:numPr>
              <w:spacing w:before="0" w:after="0"/>
              <w:ind w:hanging="0" w:left="0"/>
              <w:rPr>
                <w:iCs w:val="false"/>
                <w:sz w:val="18"/>
                <w:szCs w:val="18"/>
              </w:rPr>
            </w:pPr>
            <w:r>
              <w:fldChar w:fldCharType="begin">
                <w:ffData>
                  <w:name w:val="Text264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iCs w:val="false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288" w:type="dxa"/>
            <w:tcBorders>
              <w:left w:val="single" w:sz="12" w:space="0" w:color="000000"/>
              <w:right w:val="single" w:sz="12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0"/>
                <w:numId w:val="0"/>
              </w:numPr>
              <w:spacing w:before="0" w:after="0"/>
              <w:ind w:hanging="0"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cs="Arial" w:ascii="Arial" w:hAnsi="Arial"/>
                <w:b/>
                <w:sz w:val="18"/>
                <w:szCs w:val="18"/>
              </w:rPr>
              <w:t>noch zu verteilen</w:t>
            </w:r>
          </w:p>
        </w:tc>
        <w:tc>
          <w:tcPr>
            <w:tcW w:w="9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37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>
              <w:rPr/>
            </w:r>
            <w:r>
              <w:rPr/>
              <w:fldChar w:fldCharType="end"/>
            </w:r>
            <w:r>
              <w:rPr>
                <w:iCs/>
                <w:sz w:val="18"/>
                <w:szCs w:val="18"/>
                <w:vertAlign w:val="superscript"/>
              </w:rPr>
              <w:t>1)</w:t>
            </w:r>
          </w:p>
        </w:tc>
      </w:tr>
    </w:tbl>
    <w:p>
      <w:pPr>
        <w:pStyle w:val="Normal"/>
        <w:rPr>
          <w:rFonts w:ascii="Arial" w:hAnsi="Arial"/>
          <w:b/>
          <w:i/>
          <w:i/>
          <w:szCs w:val="24"/>
        </w:rPr>
      </w:pPr>
      <w:r>
        <w:rPr>
          <w:rFonts w:cs="Arial" w:ascii="Arial" w:hAnsi="Arial"/>
          <w:i/>
          <w:sz w:val="16"/>
          <w:szCs w:val="16"/>
        </w:rPr>
        <w:t>*</w:t>
      </w:r>
      <w:r>
        <w:rPr>
          <w:rStyle w:val="FootnoteCharacters"/>
          <w:rFonts w:cs="Arial" w:ascii="Arial" w:hAnsi="Arial"/>
          <w:i/>
          <w:sz w:val="16"/>
          <w:szCs w:val="16"/>
        </w:rPr>
        <w:t>)</w:t>
      </w:r>
      <w:r>
        <w:rPr>
          <w:rFonts w:cs="Arial" w:ascii="Arial" w:hAnsi="Arial"/>
          <w:i/>
          <w:sz w:val="16"/>
          <w:szCs w:val="16"/>
        </w:rPr>
        <w:t xml:space="preserve">   Auf Verlangen sind für diese Leistungen die Angaben zur Kalkulation der(s) Nachunternehmer(s) der Auftraggeberin vorzulegen.</w:t>
      </w:r>
    </w:p>
    <w:p>
      <w:pPr>
        <w:pStyle w:val="Normal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Normal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Normal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Normal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Normal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Normal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Normal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Normal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Normal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Normal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Normal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Normal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Normal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Normal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mc:AlternateContent>
          <mc:Choice Requires="wps">
            <w:drawing>
              <wp:anchor behindDoc="0" distT="59055" distB="13335" distL="0" distR="81280" simplePos="0" locked="0" layoutInCell="1" allowOverlap="1" relativeHeight="2" wp14:anchorId="0737CF15">
                <wp:simplePos x="0" y="0"/>
                <wp:positionH relativeFrom="column">
                  <wp:posOffset>3446145</wp:posOffset>
                </wp:positionH>
                <wp:positionV relativeFrom="paragraph">
                  <wp:posOffset>1840230</wp:posOffset>
                </wp:positionV>
                <wp:extent cx="2540" cy="635"/>
                <wp:effectExtent l="0" t="56515" r="80645" b="15875"/>
                <wp:wrapNone/>
                <wp:docPr id="1" name="Line 1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520" cy="72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round/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271.35pt,144.9pt" to="271.5pt,144.9pt" ID="Line 14" stroked="t" o:allowincell="f" style="position:absolute;flip:x" wp14:anchorId="0737CF15">
                <v:stroke color="black" weight="9360" endarrow="block" endarrowwidth="medium" endarrowlength="medium" joinstyle="round" endcap="flat"/>
                <v:fill o:detectmouseclick="t" on="false"/>
                <w10:wrap type="none"/>
              </v:line>
            </w:pict>
          </mc:Fallback>
        </mc:AlternateContent>
      </w:r>
    </w:p>
    <w:tbl>
      <w:tblPr>
        <w:tblpPr w:vertAnchor="text" w:horzAnchor="text" w:leftFromText="141" w:rightFromText="141" w:tblpX="-2" w:tblpY="1"/>
        <w:tblW w:w="9639" w:type="dxa"/>
        <w:jc w:val="left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noHBand="0" w:noVBand="0" w:firstColumn="1" w:lastRow="1" w:lastColumn="1" w:firstRow="1"/>
      </w:tblPr>
      <w:tblGrid>
        <w:gridCol w:w="741"/>
        <w:gridCol w:w="4078"/>
        <w:gridCol w:w="1276"/>
        <w:gridCol w:w="1275"/>
        <w:gridCol w:w="1200"/>
        <w:gridCol w:w="1068"/>
      </w:tblGrid>
      <w:tr>
        <w:trPr>
          <w:trHeight w:val="528" w:hRule="atLeast"/>
          <w:cantSplit w:val="true"/>
        </w:trPr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  <w:numId w:val="2"/>
              </w:numPr>
              <w:spacing w:beforeAutospacing="0" w:before="0" w:afterAutospacing="0" w:after="0"/>
              <w:ind w:hanging="227" w:left="28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66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  <w:numId w:val="0"/>
              </w:numPr>
              <w:spacing w:beforeAutospacing="0" w:before="0" w:afterAutospacing="0" w:after="0"/>
              <w:ind w:hanging="0"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Baustellengemeinkosten, Allgemeine Geschäftskosten, Wagnis und Gewinn</w:t>
            </w:r>
          </w:p>
        </w:tc>
        <w:tc>
          <w:tcPr>
            <w:tcW w:w="120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68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Heading2"/>
              <w:numPr>
                <w:ilvl w:val="1"/>
                <w:numId w:val="2"/>
              </w:numPr>
              <w:spacing w:before="0" w:after="0"/>
              <w:ind w:hanging="0"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66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0"/>
                <w:numId w:val="0"/>
              </w:numPr>
              <w:spacing w:before="0" w:after="0"/>
              <w:ind w:hanging="0" w:left="0"/>
              <w:rPr>
                <w:iCs w:val="false"/>
                <w:sz w:val="18"/>
                <w:szCs w:val="18"/>
              </w:rPr>
            </w:pPr>
            <w:r>
              <w:rPr>
                <w:iCs w:val="false"/>
                <w:sz w:val="18"/>
                <w:szCs w:val="18"/>
              </w:rPr>
              <w:t>Baustellengemeinkosten</w:t>
            </w:r>
          </w:p>
          <w:p>
            <w:pPr>
              <w:pStyle w:val="Normal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(soweit hierfür keine besonderen Ansätze im Leistungsverzeichnis vorgesehen sind)</w:t>
            </w:r>
          </w:p>
        </w:tc>
        <w:tc>
          <w:tcPr>
            <w:tcW w:w="120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68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5" w:hRule="atLeast"/>
          <w:cantSplit w:val="true"/>
        </w:trPr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Block"/>
              <w:numPr>
                <w:ilvl w:val="2"/>
                <w:numId w:val="2"/>
              </w:numPr>
              <w:tabs>
                <w:tab w:val="clear" w:pos="709"/>
                <w:tab w:val="left" w:pos="567" w:leader="none"/>
              </w:tabs>
              <w:ind w:hanging="510" w:left="567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</w:r>
          </w:p>
        </w:tc>
        <w:tc>
          <w:tcPr>
            <w:tcW w:w="4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Lohnkosten einschließlich Hilfslöhne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38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2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120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68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5" w:hRule="atLeast"/>
          <w:cantSplit w:val="true"/>
        </w:trPr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4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Bei Angebotssummen unter 5 Mio. €:</w:t>
            </w:r>
          </w:p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Angabe des Betrages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39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275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120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68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5" w:hRule="atLeast"/>
          <w:cantSplit w:val="true"/>
        </w:trPr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4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Bei Angebotssummen über 5 Mio. €:</w:t>
            </w:r>
          </w:p>
          <w:p>
            <w:pPr>
              <w:pStyle w:val="Normal"/>
              <w:tabs>
                <w:tab w:val="clear" w:pos="709"/>
                <w:tab w:val="left" w:pos="1896" w:leader="none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 xml:space="preserve">Kalkulationslohn (1.4) </w:t>
              <w:tab/>
              <w:t>x Gesamtstunden: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40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275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120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68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5" w:hRule="atLeast"/>
          <w:cantSplit w:val="true"/>
        </w:trPr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Block"/>
              <w:numPr>
                <w:ilvl w:val="0"/>
                <w:numId w:val="0"/>
              </w:numPr>
              <w:ind w:hanging="0" w:left="57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</w:r>
          </w:p>
        </w:tc>
        <w:tc>
          <w:tcPr>
            <w:tcW w:w="4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9"/>
                <w:tab w:val="left" w:pos="1896" w:leader="none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ab/>
              <w:t>x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41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275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120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68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5" w:hRule="atLeast"/>
          <w:cantSplit w:val="true"/>
        </w:trPr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Block"/>
              <w:numPr>
                <w:ilvl w:val="2"/>
                <w:numId w:val="2"/>
              </w:numPr>
              <w:tabs>
                <w:tab w:val="clear" w:pos="709"/>
                <w:tab w:val="left" w:pos="567" w:leader="none"/>
              </w:tabs>
              <w:ind w:hanging="510" w:left="567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</w:r>
          </w:p>
        </w:tc>
        <w:tc>
          <w:tcPr>
            <w:tcW w:w="4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Gehaltskosten für Bauleitung, Abrechnung,</w:t>
              <w:br/>
              <w:t>Vermessung usw.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42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275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120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68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5" w:hRule="atLeast"/>
          <w:cantSplit w:val="true"/>
        </w:trPr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Block"/>
              <w:numPr>
                <w:ilvl w:val="2"/>
                <w:numId w:val="2"/>
              </w:numPr>
              <w:tabs>
                <w:tab w:val="clear" w:pos="709"/>
                <w:tab w:val="left" w:pos="567" w:leader="none"/>
              </w:tabs>
              <w:ind w:hanging="510" w:left="567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</w:r>
          </w:p>
        </w:tc>
        <w:tc>
          <w:tcPr>
            <w:tcW w:w="4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Vorhalten und Reparatur der Geräte und Ausrüstungen, Energieverbrauch, Werkzeuge, und Kleingeräte, Materialkosten für Baustelleneinrichtung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43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275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120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68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5" w:hRule="atLeast"/>
          <w:cantSplit w:val="true"/>
        </w:trPr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Block"/>
              <w:numPr>
                <w:ilvl w:val="2"/>
                <w:numId w:val="2"/>
              </w:numPr>
              <w:tabs>
                <w:tab w:val="clear" w:pos="709"/>
                <w:tab w:val="left" w:pos="567" w:leader="none"/>
              </w:tabs>
              <w:ind w:hanging="510" w:left="567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</w:r>
          </w:p>
        </w:tc>
        <w:tc>
          <w:tcPr>
            <w:tcW w:w="4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An- und Abtransport der Geräte und Ausrüstungen, Hilfsstoffe, Pachten usw.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44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275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120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68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5" w:hRule="atLeast"/>
          <w:cantSplit w:val="true"/>
        </w:trPr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Block"/>
              <w:numPr>
                <w:ilvl w:val="2"/>
                <w:numId w:val="2"/>
              </w:numPr>
              <w:tabs>
                <w:tab w:val="clear" w:pos="709"/>
                <w:tab w:val="left" w:pos="567" w:leader="none"/>
              </w:tabs>
              <w:ind w:hanging="510" w:left="567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</w:r>
          </w:p>
        </w:tc>
        <w:tc>
          <w:tcPr>
            <w:tcW w:w="4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45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275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120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68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5" w:hRule="atLeast"/>
          <w:cantSplit w:val="true"/>
        </w:trPr>
        <w:tc>
          <w:tcPr>
            <w:tcW w:w="60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0"/>
                <w:numId w:val="0"/>
              </w:numPr>
              <w:tabs>
                <w:tab w:val="clear" w:pos="709"/>
                <w:tab w:val="left" w:pos="3294" w:leader="none"/>
              </w:tabs>
              <w:spacing w:before="0" w:after="0"/>
              <w:ind w:hanging="0" w:left="0"/>
              <w:rPr>
                <w:iCs w:val="false"/>
                <w:sz w:val="18"/>
                <w:szCs w:val="18"/>
              </w:rPr>
            </w:pPr>
            <w:r>
              <w:rPr>
                <w:iCs w:val="false"/>
                <w:sz w:val="18"/>
                <w:szCs w:val="18"/>
              </w:rPr>
              <w:t>Baustellengemeinkosten</w:t>
              <w:tab/>
              <w:t>(Summe 3.1)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0"/>
                <w:numId w:val="0"/>
              </w:numPr>
              <w:spacing w:before="0" w:after="0"/>
              <w:ind w:hanging="0" w:left="0"/>
              <w:rPr>
                <w:iCs w:val="false"/>
                <w:sz w:val="18"/>
                <w:szCs w:val="18"/>
              </w:rPr>
            </w:pPr>
            <w:r>
              <w:fldChar w:fldCharType="begin">
                <w:ffData>
                  <w:name w:val="Text46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iCs w:val="false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20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68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5" w:hRule="atLeast"/>
          <w:cantSplit w:val="true"/>
        </w:trPr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1"/>
                <w:numId w:val="2"/>
              </w:numPr>
              <w:spacing w:before="0" w:after="0"/>
              <w:ind w:hanging="0"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4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0"/>
                <w:numId w:val="0"/>
              </w:numPr>
              <w:tabs>
                <w:tab w:val="clear" w:pos="709"/>
                <w:tab w:val="left" w:pos="2604" w:leader="none"/>
              </w:tabs>
              <w:spacing w:before="0" w:after="0"/>
              <w:ind w:hanging="0" w:left="0"/>
              <w:rPr>
                <w:iCs w:val="false"/>
                <w:sz w:val="18"/>
                <w:szCs w:val="18"/>
              </w:rPr>
            </w:pPr>
            <w:r>
              <w:rPr>
                <w:iCs w:val="false"/>
                <w:sz w:val="18"/>
                <w:szCs w:val="18"/>
              </w:rPr>
              <w:t>Allgemeine Geschäftskosten</w:t>
              <w:tab/>
              <w:t>(Summe 3.2)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47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49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20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68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5" w:hRule="atLeast"/>
          <w:cantSplit w:val="true"/>
        </w:trPr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0"/>
                <w:numId w:val="0"/>
              </w:numPr>
              <w:spacing w:before="0" w:after="0"/>
              <w:ind w:hanging="0" w:left="0"/>
              <w:rPr>
                <w:b w:val="false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>
              <w:rPr>
                <w:b w:val="false"/>
                <w:sz w:val="18"/>
                <w:szCs w:val="18"/>
              </w:rPr>
              <w:t>3.3</w:t>
            </w:r>
          </w:p>
        </w:tc>
        <w:tc>
          <w:tcPr>
            <w:tcW w:w="4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0"/>
                <w:numId w:val="0"/>
              </w:numPr>
              <w:tabs>
                <w:tab w:val="clear" w:pos="709"/>
                <w:tab w:val="left" w:pos="2604" w:leader="none"/>
              </w:tabs>
              <w:spacing w:before="0" w:after="0"/>
              <w:ind w:hanging="0" w:left="0"/>
              <w:rPr>
                <w:iCs w:val="false"/>
                <w:sz w:val="18"/>
                <w:szCs w:val="18"/>
              </w:rPr>
            </w:pPr>
            <w:r>
              <w:rPr>
                <w:iCs w:val="false"/>
                <w:sz w:val="18"/>
                <w:szCs w:val="18"/>
              </w:rPr>
              <w:t>Wagnis und Gewinn</w:t>
              <w:tab/>
              <w:t>(Summe 3.3)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48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20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68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5" w:hRule="atLeast"/>
          <w:cantSplit w:val="true"/>
        </w:trPr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0"/>
                <w:numId w:val="0"/>
              </w:numPr>
              <w:spacing w:before="0" w:after="0"/>
              <w:ind w:hanging="0" w:left="0"/>
              <w:rPr>
                <w:b w:val="false"/>
                <w:sz w:val="18"/>
                <w:szCs w:val="18"/>
              </w:rPr>
            </w:pPr>
            <w:r>
              <w:rPr>
                <w:b w:val="false"/>
                <w:sz w:val="18"/>
                <w:szCs w:val="18"/>
              </w:rPr>
              <w:t>3.3.1</w:t>
            </w:r>
          </w:p>
        </w:tc>
        <w:tc>
          <w:tcPr>
            <w:tcW w:w="4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0"/>
                <w:numId w:val="0"/>
              </w:numPr>
              <w:tabs>
                <w:tab w:val="clear" w:pos="709"/>
                <w:tab w:val="left" w:pos="2604" w:leader="none"/>
              </w:tabs>
              <w:spacing w:before="0" w:after="0"/>
              <w:ind w:hanging="0" w:left="0"/>
              <w:rPr>
                <w:b w:val="false"/>
                <w:iCs w:val="false"/>
                <w:sz w:val="18"/>
                <w:szCs w:val="18"/>
              </w:rPr>
            </w:pPr>
            <w:r>
              <w:rPr>
                <w:b w:val="false"/>
                <w:iCs w:val="false"/>
                <w:sz w:val="18"/>
                <w:szCs w:val="18"/>
              </w:rPr>
              <w:t>Gewinn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482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50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20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68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5" w:hRule="atLeast"/>
          <w:cantSplit w:val="true"/>
        </w:trPr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0"/>
                <w:numId w:val="0"/>
              </w:numPr>
              <w:spacing w:before="0" w:after="0"/>
              <w:ind w:hanging="0" w:left="0"/>
              <w:rPr>
                <w:b w:val="false"/>
                <w:sz w:val="18"/>
                <w:szCs w:val="18"/>
              </w:rPr>
            </w:pPr>
            <w:r>
              <w:rPr>
                <w:b w:val="false"/>
                <w:sz w:val="18"/>
                <w:szCs w:val="18"/>
              </w:rPr>
              <w:t>3.3.2</w:t>
            </w:r>
          </w:p>
        </w:tc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0"/>
                <w:numId w:val="0"/>
              </w:numPr>
              <w:snapToGrid w:val="false"/>
              <w:spacing w:before="0" w:after="0"/>
              <w:ind w:hanging="0" w:left="0"/>
              <w:rPr>
                <w:b w:val="false"/>
                <w:sz w:val="18"/>
                <w:szCs w:val="18"/>
              </w:rPr>
            </w:pPr>
            <w:r>
              <w:rPr>
                <w:b w:val="false"/>
                <w:sz w:val="18"/>
                <w:szCs w:val="18"/>
              </w:rPr>
              <w:t>betriebsbezogenes Wagnis</w:t>
            </w:r>
          </w:p>
          <w:p>
            <w:pPr>
              <w:pStyle w:val="Heading2"/>
              <w:numPr>
                <w:ilvl w:val="0"/>
                <w:numId w:val="0"/>
              </w:numPr>
              <w:tabs>
                <w:tab w:val="clear" w:pos="709"/>
                <w:tab w:val="left" w:pos="2604" w:leader="none"/>
              </w:tabs>
              <w:spacing w:before="0" w:after="0"/>
              <w:ind w:hanging="0" w:left="0"/>
              <w:rPr>
                <w:b w:val="false"/>
                <w:iCs w:val="false"/>
                <w:sz w:val="18"/>
                <w:szCs w:val="18"/>
              </w:rPr>
            </w:pPr>
            <w:r>
              <w:rPr>
                <w:sz w:val="16"/>
                <w:szCs w:val="16"/>
              </w:rPr>
              <w:t>(für allgemeines Unternehmensrisiko)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120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68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5" w:hRule="atLeast"/>
          <w:cantSplit w:val="true"/>
        </w:trPr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0"/>
                <w:numId w:val="0"/>
              </w:numPr>
              <w:spacing w:before="0" w:after="0"/>
              <w:ind w:hanging="567" w:left="567"/>
              <w:rPr>
                <w:b w:val="false"/>
                <w:sz w:val="18"/>
                <w:szCs w:val="18"/>
              </w:rPr>
            </w:pPr>
            <w:r>
              <w:rPr>
                <w:b w:val="false"/>
                <w:sz w:val="18"/>
                <w:szCs w:val="18"/>
              </w:rPr>
              <w:t>3.3.3</w:t>
            </w:r>
          </w:p>
        </w:tc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0"/>
                <w:numId w:val="0"/>
              </w:numPr>
              <w:snapToGrid w:val="false"/>
              <w:spacing w:before="0" w:after="0"/>
              <w:ind w:hanging="0" w:left="0"/>
              <w:rPr>
                <w:b w:val="false"/>
                <w:sz w:val="18"/>
                <w:szCs w:val="18"/>
              </w:rPr>
            </w:pPr>
            <w:r>
              <w:rPr>
                <w:b w:val="false"/>
                <w:sz w:val="18"/>
                <w:szCs w:val="18"/>
              </w:rPr>
              <w:t>leistungsbezogenes Wagnis</w:t>
            </w:r>
          </w:p>
          <w:p>
            <w:pPr>
              <w:pStyle w:val="Heading2"/>
              <w:numPr>
                <w:ilvl w:val="0"/>
                <w:numId w:val="0"/>
              </w:numPr>
              <w:tabs>
                <w:tab w:val="clear" w:pos="709"/>
                <w:tab w:val="left" w:pos="2604" w:leader="none"/>
              </w:tabs>
              <w:spacing w:before="0" w:after="0"/>
              <w:ind w:hanging="0" w:left="0"/>
              <w:rPr>
                <w:b w:val="false"/>
                <w:iCs w:val="false"/>
                <w:sz w:val="18"/>
                <w:szCs w:val="18"/>
              </w:rPr>
            </w:pPr>
            <w:r>
              <w:rPr>
                <w:sz w:val="16"/>
                <w:szCs w:val="16"/>
              </w:rPr>
              <w:t>(mit Leistungsausführung verbunden)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120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68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5" w:hRule="atLeast"/>
          <w:cantSplit w:val="true"/>
        </w:trPr>
        <w:tc>
          <w:tcPr>
            <w:tcW w:w="7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0"/>
                <w:numId w:val="0"/>
              </w:numPr>
              <w:tabs>
                <w:tab w:val="clear" w:pos="709"/>
                <w:tab w:val="left" w:pos="3294" w:leader="none"/>
              </w:tabs>
              <w:spacing w:before="0" w:after="0"/>
              <w:ind w:hanging="0" w:left="0"/>
              <w:rPr>
                <w:iCs w:val="false"/>
                <w:sz w:val="18"/>
                <w:szCs w:val="18"/>
              </w:rPr>
            </w:pPr>
            <w:r>
              <w:rPr>
                <w:iCs w:val="false"/>
                <w:sz w:val="18"/>
                <w:szCs w:val="18"/>
              </w:rPr>
              <w:t>Umlage auf die Einzelkosten</w:t>
              <w:tab/>
              <w:t>(Summe 3)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Heading2"/>
              <w:numPr>
                <w:ilvl w:val="0"/>
                <w:numId w:val="0"/>
              </w:numPr>
              <w:spacing w:before="0" w:after="0"/>
              <w:ind w:hanging="0" w:left="0"/>
              <w:rPr>
                <w:iCs w:val="false"/>
                <w:sz w:val="18"/>
                <w:szCs w:val="18"/>
              </w:rPr>
            </w:pPr>
            <w:r>
              <w:rPr>
                <w:iCs w:val="false"/>
                <w:sz w:val="18"/>
                <w:szCs w:val="18"/>
              </w:rPr>
            </w:r>
          </w:p>
        </w:tc>
        <w:tc>
          <w:tcPr>
            <w:tcW w:w="10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0"/>
                <w:numId w:val="0"/>
              </w:numPr>
              <w:spacing w:before="0" w:after="0"/>
              <w:ind w:hanging="0" w:left="0"/>
              <w:rPr>
                <w:iCs w:val="false"/>
                <w:sz w:val="18"/>
                <w:szCs w:val="18"/>
              </w:rPr>
            </w:pPr>
            <w:r>
              <w:fldChar w:fldCharType="begin">
                <w:ffData>
                  <w:name w:val="Text51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iCs w:val="false"/>
                <w:sz w:val="18"/>
                <w:szCs w:val="18"/>
              </w:rPr>
              <w:t>     </w:t>
            </w:r>
            <w:r>
              <w:rPr/>
            </w:r>
            <w:r>
              <w:rPr/>
              <w:fldChar w:fldCharType="end"/>
            </w:r>
            <w:r>
              <w:rPr>
                <w:b w:val="false"/>
                <w:iCs w:val="false"/>
                <w:sz w:val="18"/>
                <w:szCs w:val="18"/>
                <w:vertAlign w:val="superscript"/>
              </w:rPr>
              <w:t>2)</w:t>
            </w:r>
          </w:p>
        </w:tc>
      </w:tr>
      <w:tr>
        <w:trPr>
          <w:trHeight w:val="425" w:hRule="atLeast"/>
          <w:cantSplit w:val="true"/>
        </w:trPr>
        <w:tc>
          <w:tcPr>
            <w:tcW w:w="60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0"/>
                <w:numId w:val="0"/>
              </w:numPr>
              <w:tabs>
                <w:tab w:val="clear" w:pos="709"/>
                <w:tab w:val="left" w:pos="3294" w:leader="none"/>
              </w:tabs>
              <w:spacing w:before="0" w:after="0"/>
              <w:ind w:hanging="0" w:left="0"/>
              <w:rPr>
                <w:iCs w:val="false"/>
                <w:sz w:val="18"/>
                <w:szCs w:val="18"/>
              </w:rPr>
            </w:pPr>
            <w:r>
              <w:rPr>
                <w:iCs w:val="false"/>
                <w:sz w:val="18"/>
                <w:szCs w:val="18"/>
              </w:rPr>
              <w:t>Angebotssumme ohne Umsatzsteuer</w:t>
              <w:tab/>
              <w:t>(Summe 2 u. 3)</w:t>
            </w:r>
          </w:p>
        </w:tc>
        <w:tc>
          <w:tcPr>
            <w:tcW w:w="12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0"/>
                <w:numId w:val="0"/>
              </w:numPr>
              <w:spacing w:before="0" w:after="0"/>
              <w:ind w:hanging="0" w:left="0"/>
              <w:rPr>
                <w:iCs w:val="false"/>
                <w:sz w:val="18"/>
                <w:szCs w:val="18"/>
              </w:rPr>
            </w:pPr>
            <w: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iCs w:val="false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20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68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widowControl w:val="false"/>
        <w:overflowPunct w:val="false"/>
        <w:textAlignment w:val="auto"/>
        <w:rPr>
          <w:rFonts w:ascii="Arial" w:hAnsi="Arial" w:eastAsia="Arial" w:cs="Arial"/>
          <w:sz w:val="18"/>
          <w:szCs w:val="18"/>
          <w:lang w:bidi="de-DE"/>
        </w:rPr>
      </w:pPr>
      <w:r>
        <w:rPr>
          <w:rFonts w:eastAsia="Arial" w:cs="Arial" w:ascii="Arial" w:hAnsi="Arial"/>
          <w:sz w:val="18"/>
          <w:szCs w:val="18"/>
          <w:lang w:bidi="de-DE"/>
        </w:rPr>
      </w:r>
    </w:p>
    <w:p>
      <w:pPr>
        <w:pStyle w:val="Normal"/>
        <w:widowControl w:val="false"/>
        <w:overflowPunct w:val="false"/>
        <w:spacing w:before="9" w:after="0"/>
        <w:textAlignment w:val="auto"/>
        <w:rPr>
          <w:rFonts w:ascii="Arial" w:hAnsi="Arial" w:eastAsia="Arial" w:cs="Arial"/>
          <w:i/>
          <w:i/>
          <w:sz w:val="21"/>
          <w:szCs w:val="18"/>
          <w:lang w:bidi="de-DE"/>
        </w:rPr>
      </w:pPr>
      <w:r>
        <w:rPr>
          <w:rFonts w:eastAsia="Arial" w:cs="Arial" w:ascii="Arial" w:hAnsi="Arial"/>
          <w:i/>
          <w:sz w:val="21"/>
          <w:szCs w:val="18"/>
          <w:lang w:bidi="de-DE"/>
        </w:rPr>
      </w:r>
      <w:bookmarkStart w:id="0" w:name="_Hlk127530193"/>
      <w:bookmarkStart w:id="1" w:name="_Hlk127530193"/>
    </w:p>
    <w:p>
      <w:pPr>
        <w:pStyle w:val="Normal"/>
        <w:widowControl w:val="false"/>
        <w:overflowPunct w:val="false"/>
        <w:ind w:hanging="0" w:left="3157" w:right="3895"/>
        <w:jc w:val="center"/>
        <w:textAlignment w:val="auto"/>
        <w:rPr>
          <w:rFonts w:ascii="Arial" w:hAnsi="Arial" w:eastAsia="Arial" w:cs="Arial"/>
          <w:sz w:val="18"/>
          <w:szCs w:val="18"/>
          <w:lang w:bidi="de-DE"/>
        </w:rPr>
      </w:pPr>
      <w:r>
        <w:rPr>
          <w:rFonts w:eastAsia="Arial" w:cs="Arial" w:ascii="Arial" w:hAnsi="Arial"/>
          <w:sz w:val="18"/>
          <w:szCs w:val="18"/>
          <w:lang w:bidi="de-DE"/>
        </w:rPr>
        <w:t>1), 2)</w:t>
      </w:r>
    </w:p>
    <w:p>
      <w:pPr>
        <w:pStyle w:val="Normal"/>
        <w:widowControl w:val="false"/>
        <w:overflowPunct w:val="false"/>
        <w:spacing w:before="80" w:after="0"/>
        <w:ind w:hanging="0" w:left="4253" w:right="-709"/>
        <w:textAlignment w:val="auto"/>
        <w:rPr>
          <w:rFonts w:ascii="Arial" w:hAnsi="Arial" w:eastAsia="Arial" w:cs="Arial"/>
          <w:sz w:val="18"/>
          <w:szCs w:val="18"/>
          <w:lang w:bidi="de-DE"/>
        </w:rPr>
      </w:pPr>
      <w:r>
        <w:rPr>
          <w:rFonts w:eastAsia="Arial" w:cs="Arial" w:ascii="Arial" w:hAnsi="Arial"/>
          <w:b/>
          <w:i/>
          <w:position w:val="1"/>
          <w:sz w:val="18"/>
          <w:szCs w:val="18"/>
          <w:lang w:bidi="de-DE"/>
        </w:rPr>
        <w:t xml:space="preserve">Hinweis: </w:t>
      </w:r>
      <w:r>
        <w:rPr>
          <w:rFonts w:eastAsia="Arial" w:cs="Arial" w:ascii="Arial" w:hAnsi="Arial"/>
          <w:sz w:val="18"/>
          <w:szCs w:val="18"/>
          <w:lang w:bidi="de-DE"/>
        </w:rPr>
        <w:t>Der Betrag aus Feld 2) ist oben in das Feld 1) einzutragen.</w:t>
      </w:r>
      <w:bookmarkEnd w:id="1"/>
    </w:p>
    <w:p>
      <w:pPr>
        <w:pStyle w:val="Normal"/>
        <w:widowControl w:val="false"/>
        <w:overflowPunct w:val="false"/>
        <w:spacing w:before="9" w:after="0"/>
        <w:jc w:val="both"/>
        <w:textAlignment w:val="auto"/>
        <w:rPr>
          <w:rFonts w:ascii="Arial" w:hAnsi="Arial" w:cs="Arial"/>
          <w:iCs/>
          <w:sz w:val="18"/>
          <w:szCs w:val="18"/>
          <w:vertAlign w:val="superscript"/>
        </w:rPr>
      </w:pPr>
      <w:r>
        <w:rPr>
          <w:rFonts w:cs="Arial" w:ascii="Arial" w:hAnsi="Arial"/>
          <w:iCs/>
          <w:sz w:val="18"/>
          <w:szCs w:val="18"/>
          <w:vertAlign w:val="superscript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continuous"/>
      <w:pgSz w:w="11906" w:h="16838"/>
      <w:pgMar w:left="1134" w:right="1134" w:gutter="0" w:header="454" w:top="1276" w:footer="454" w:bottom="1701"/>
      <w:formProt w:val="tru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pBdr>
        <w:top w:val="single" w:sz="4" w:space="1" w:color="000000"/>
      </w:pBdr>
      <w:rPr>
        <w:rFonts w:cs="Arial"/>
      </w:rPr>
    </w:pPr>
    <w:r>
      <w:rPr>
        <w:rFonts w:cs="Arial"/>
      </w:rPr>
    </w:r>
  </w:p>
  <w:p>
    <w:pPr>
      <w:pStyle w:val="Footer"/>
      <w:tabs>
        <w:tab w:val="clear" w:pos="4536"/>
        <w:tab w:val="clear" w:pos="9072"/>
        <w:tab w:val="left" w:pos="8930" w:leader="none"/>
      </w:tabs>
      <w:rPr>
        <w:rFonts w:ascii="Arial" w:hAnsi="Arial" w:cs="Arial"/>
        <w:sz w:val="20"/>
      </w:rPr>
    </w:pPr>
    <w:r>
      <w:rPr>
        <w:rFonts w:cs="Arial" w:ascii="Arial" w:hAnsi="Arial"/>
        <w:sz w:val="20"/>
      </w:rPr>
      <w:t>Preisermittlungsblatt 1 (Papierversion) – 04/2023</w:t>
      <w:tab/>
    </w:r>
    <w:r>
      <w:rPr>
        <w:rFonts w:cs="Arial" w:ascii="Arial" w:hAnsi="Arial"/>
        <w:sz w:val="20"/>
      </w:rPr>
      <w:fldChar w:fldCharType="begin"/>
    </w:r>
    <w:r>
      <w:rPr>
        <w:sz w:val="20"/>
        <w:rFonts w:cs="Arial" w:ascii="Arial" w:hAnsi="Arial"/>
      </w:rPr>
      <w:instrText xml:space="preserve"> PAGE </w:instrText>
    </w:r>
    <w:r>
      <w:rPr>
        <w:sz w:val="20"/>
        <w:rFonts w:cs="Arial" w:ascii="Arial" w:hAnsi="Arial"/>
      </w:rPr>
      <w:fldChar w:fldCharType="separate"/>
    </w:r>
    <w:r>
      <w:rPr>
        <w:sz w:val="20"/>
        <w:rFonts w:cs="Arial" w:ascii="Arial" w:hAnsi="Arial"/>
      </w:rPr>
      <w:t>4</w:t>
    </w:r>
    <w:r>
      <w:rPr>
        <w:sz w:val="20"/>
        <w:rFonts w:cs="Arial" w:ascii="Arial" w:hAnsi="Arial"/>
      </w:rPr>
      <w:fldChar w:fldCharType="end"/>
    </w:r>
    <w:r>
      <w:rPr>
        <w:rFonts w:cs="Arial" w:ascii="Arial" w:hAnsi="Arial"/>
        <w:sz w:val="20"/>
      </w:rPr>
      <w:t xml:space="preserve"> von </w:t>
    </w:r>
    <w:r>
      <w:rPr>
        <w:rFonts w:cs="Arial" w:ascii="Arial" w:hAnsi="Arial"/>
        <w:sz w:val="20"/>
      </w:rPr>
      <w:fldChar w:fldCharType="begin"/>
    </w:r>
    <w:r>
      <w:rPr>
        <w:sz w:val="20"/>
        <w:rFonts w:cs="Arial" w:ascii="Arial" w:hAnsi="Arial"/>
      </w:rPr>
      <w:instrText xml:space="preserve"> NUMPAGES </w:instrText>
    </w:r>
    <w:r>
      <w:rPr>
        <w:sz w:val="20"/>
        <w:rFonts w:cs="Arial" w:ascii="Arial" w:hAnsi="Arial"/>
      </w:rPr>
      <w:fldChar w:fldCharType="separate"/>
    </w:r>
    <w:r>
      <w:rPr>
        <w:sz w:val="20"/>
        <w:rFonts w:cs="Arial" w:ascii="Arial" w:hAnsi="Arial"/>
      </w:rPr>
      <w:t>4</w:t>
    </w:r>
    <w:r>
      <w:rPr>
        <w:sz w:val="20"/>
        <w:rFonts w:cs="Arial" w:ascii="Arial" w:hAnsi="Arial"/>
      </w:rPr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pBdr>
        <w:top w:val="single" w:sz="4" w:space="1" w:color="000000"/>
      </w:pBdr>
      <w:rPr>
        <w:rFonts w:cs="Arial"/>
      </w:rPr>
    </w:pPr>
    <w:r>
      <w:rPr>
        <w:rFonts w:cs="Arial"/>
      </w:rPr>
    </w:r>
  </w:p>
  <w:p>
    <w:pPr>
      <w:pStyle w:val="Footer"/>
      <w:tabs>
        <w:tab w:val="clear" w:pos="4536"/>
        <w:tab w:val="clear" w:pos="9072"/>
        <w:tab w:val="left" w:pos="8930" w:leader="none"/>
      </w:tabs>
      <w:rPr>
        <w:rFonts w:ascii="Arial" w:hAnsi="Arial" w:cs="Arial"/>
        <w:sz w:val="20"/>
      </w:rPr>
    </w:pPr>
    <w:r>
      <w:rPr>
        <w:rFonts w:cs="Arial" w:ascii="Arial" w:hAnsi="Arial"/>
        <w:sz w:val="20"/>
      </w:rPr>
      <w:t>Preisermittlungsblatt 1 (Papierversion) – 04/2023</w:t>
      <w:tab/>
    </w:r>
    <w:r>
      <w:rPr>
        <w:rFonts w:cs="Arial" w:ascii="Arial" w:hAnsi="Arial"/>
        <w:sz w:val="20"/>
      </w:rPr>
      <w:fldChar w:fldCharType="begin"/>
    </w:r>
    <w:r>
      <w:rPr>
        <w:sz w:val="20"/>
        <w:rFonts w:cs="Arial" w:ascii="Arial" w:hAnsi="Arial"/>
      </w:rPr>
      <w:instrText xml:space="preserve"> PAGE </w:instrText>
    </w:r>
    <w:r>
      <w:rPr>
        <w:sz w:val="20"/>
        <w:rFonts w:cs="Arial" w:ascii="Arial" w:hAnsi="Arial"/>
      </w:rPr>
      <w:fldChar w:fldCharType="separate"/>
    </w:r>
    <w:r>
      <w:rPr>
        <w:sz w:val="20"/>
        <w:rFonts w:cs="Arial" w:ascii="Arial" w:hAnsi="Arial"/>
      </w:rPr>
      <w:t>4</w:t>
    </w:r>
    <w:r>
      <w:rPr>
        <w:sz w:val="20"/>
        <w:rFonts w:cs="Arial" w:ascii="Arial" w:hAnsi="Arial"/>
      </w:rPr>
      <w:fldChar w:fldCharType="end"/>
    </w:r>
    <w:r>
      <w:rPr>
        <w:rFonts w:cs="Arial" w:ascii="Arial" w:hAnsi="Arial"/>
        <w:sz w:val="20"/>
      </w:rPr>
      <w:t xml:space="preserve"> von </w:t>
    </w:r>
    <w:r>
      <w:rPr>
        <w:rFonts w:cs="Arial" w:ascii="Arial" w:hAnsi="Arial"/>
        <w:sz w:val="20"/>
      </w:rPr>
      <w:fldChar w:fldCharType="begin"/>
    </w:r>
    <w:r>
      <w:rPr>
        <w:sz w:val="20"/>
        <w:rFonts w:cs="Arial" w:ascii="Arial" w:hAnsi="Arial"/>
      </w:rPr>
      <w:instrText xml:space="preserve"> NUMPAGES </w:instrText>
    </w:r>
    <w:r>
      <w:rPr>
        <w:sz w:val="20"/>
        <w:rFonts w:cs="Arial" w:ascii="Arial" w:hAnsi="Arial"/>
      </w:rPr>
      <w:fldChar w:fldCharType="separate"/>
    </w:r>
    <w:r>
      <w:rPr>
        <w:sz w:val="20"/>
        <w:rFonts w:cs="Arial" w:ascii="Arial" w:hAnsi="Arial"/>
      </w:rPr>
      <w:t>4</w:t>
    </w:r>
    <w:r>
      <w:rPr>
        <w:sz w:val="20"/>
        <w:rFonts w:cs="Arial" w:ascii="Arial" w:hAnsi="Arial"/>
      </w:rPr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4536"/>
        <w:tab w:val="clear" w:pos="9072"/>
      </w:tabs>
      <w:jc w:val="right"/>
      <w:rPr>
        <w:rFonts w:ascii="Arial" w:hAnsi="Arial" w:cs="Arial"/>
        <w:b/>
        <w:sz w:val="20"/>
      </w:rPr>
    </w:pPr>
    <w:r>
      <w:rPr>
        <w:rFonts w:cs="Arial" w:ascii="Arial" w:hAnsi="Arial"/>
        <w:b/>
        <w:sz w:val="20"/>
      </w:rPr>
      <w:t>VV-Bau Anlage 6-130</w:t>
    </w:r>
  </w:p>
  <w:p>
    <w:pPr>
      <w:pStyle w:val="Header"/>
      <w:tabs>
        <w:tab w:val="clear" w:pos="4536"/>
        <w:tab w:val="clear" w:pos="9072"/>
      </w:tabs>
      <w:snapToGrid w:val="false"/>
      <w:jc w:val="right"/>
      <w:rPr>
        <w:rFonts w:ascii="Arial" w:hAnsi="Arial" w:cs="Arial"/>
        <w:sz w:val="20"/>
      </w:rPr>
    </w:pPr>
    <w:r>
      <w:rPr>
        <w:rFonts w:cs="Arial" w:ascii="Arial" w:hAnsi="Arial"/>
        <w:sz w:val="20"/>
      </w:rPr>
      <w:t>Preisermittlungsblatt 1 (Papierversion)</w:t>
    </w:r>
  </w:p>
  <w:p>
    <w:pPr>
      <w:pStyle w:val="Header"/>
      <w:pBdr>
        <w:bottom w:val="single" w:sz="4" w:space="1" w:color="000000"/>
      </w:pBdr>
      <w:ind w:hanging="0" w:right="-1"/>
      <w:rPr>
        <w:b/>
      </w:rPr>
    </w:pPr>
    <w:r>
      <w:rPr>
        <w:b/>
      </w:rPr>
    </w:r>
  </w:p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4536"/>
        <w:tab w:val="clear" w:pos="9072"/>
      </w:tabs>
      <w:jc w:val="right"/>
      <w:rPr>
        <w:rFonts w:ascii="Arial" w:hAnsi="Arial" w:cs="Arial"/>
        <w:b/>
        <w:sz w:val="20"/>
      </w:rPr>
    </w:pPr>
    <w:r>
      <w:rPr>
        <w:rFonts w:cs="Arial" w:ascii="Arial" w:hAnsi="Arial"/>
        <w:b/>
        <w:sz w:val="20"/>
      </w:rPr>
      <w:t>VV-Bau Anlage 6-130</w:t>
    </w:r>
  </w:p>
  <w:p>
    <w:pPr>
      <w:pStyle w:val="Header"/>
      <w:tabs>
        <w:tab w:val="clear" w:pos="4536"/>
        <w:tab w:val="clear" w:pos="9072"/>
      </w:tabs>
      <w:snapToGrid w:val="false"/>
      <w:jc w:val="right"/>
      <w:rPr>
        <w:rFonts w:ascii="Arial" w:hAnsi="Arial" w:cs="Arial"/>
        <w:sz w:val="20"/>
      </w:rPr>
    </w:pPr>
    <w:r>
      <w:rPr>
        <w:rFonts w:cs="Arial" w:ascii="Arial" w:hAnsi="Arial"/>
        <w:sz w:val="20"/>
      </w:rPr>
      <w:t>Preisermittlungsblatt 1 (Papierversion)</w:t>
    </w:r>
  </w:p>
  <w:p>
    <w:pPr>
      <w:pStyle w:val="Header"/>
      <w:pBdr>
        <w:bottom w:val="single" w:sz="4" w:space="1" w:color="000000"/>
      </w:pBdr>
      <w:ind w:hanging="0" w:right="-1"/>
      <w:rPr>
        <w:b/>
      </w:rPr>
    </w:pPr>
    <w:r>
      <w:rPr>
        <w:b/>
      </w:rPr>
    </w:r>
  </w:p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decimal"/>
      <w:lvlText w:val="%1."/>
      <w:lvlJc w:val="left"/>
      <w:pPr>
        <w:tabs>
          <w:tab w:val="num" w:pos="284"/>
        </w:tabs>
        <w:ind w:left="284" w:hanging="284"/>
      </w:pPr>
      <w:rPr>
        <w:smallCaps w:val="false"/>
        <w:caps w:val="false"/>
        <w:dstrike w:val="false"/>
        <w:strike w:val="false"/>
        <w:vertAlign w:val="baseline"/>
        <w:position w:val="0"/>
        <w:sz w:val="18"/>
        <w:sz w:val="18"/>
        <w:spacing w:val="0"/>
        <w:i w:val="false"/>
        <w:u w:val="none"/>
        <w:b w:val="false"/>
        <w:kern w:val="0"/>
        <w:szCs w:val="20"/>
        <w:iCs w:val="false"/>
        <w:bCs w:val="false"/>
        <w:em w:val="none"/>
        <w:vanish w:val="false"/>
        <w:rFonts w:cs="Times New Roman"/>
        <w:color w:val="auto"/>
      </w:rPr>
    </w:lvl>
    <w:lvl w:ilvl="1">
      <w:start w:val="1"/>
      <w:pStyle w:val="Heading2"/>
      <w:numFmt w:val="decimal"/>
      <w:lvlText w:val="%1.%2"/>
      <w:lvlJc w:val="left"/>
      <w:pPr>
        <w:tabs>
          <w:tab w:val="num" w:pos="567"/>
        </w:tabs>
        <w:ind w:left="567" w:hanging="567"/>
      </w:pPr>
      <w:rPr>
        <w:smallCaps w:val="false"/>
        <w:caps w:val="false"/>
        <w:dstrike w:val="false"/>
        <w:strike w:val="false"/>
        <w:vertAlign w:val="baseline"/>
        <w:position w:val="0"/>
        <w:sz w:val="18"/>
        <w:sz w:val="18"/>
        <w:spacing w:val="0"/>
        <w:i w:val="false"/>
        <w:u w:val="none"/>
        <w:b w:val="false"/>
        <w:kern w:val="0"/>
        <w:effect w:val="none"/>
        <w:iCs w:val="false"/>
        <w:bCs w:val="false"/>
        <w:em w:val="none"/>
        <w:vanish w:val="false"/>
        <w:rFonts w:cs="Times New Roman"/>
        <w:color w:val="00000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smallCaps w:val="false"/>
        <w:caps w:val="false"/>
        <w:dstrike w:val="false"/>
        <w:strike w:val="false"/>
        <w:vertAlign w:val="baseline"/>
        <w:position w:val="0"/>
        <w:sz w:val="20"/>
        <w:sz w:val="20"/>
        <w:spacing w:val="0"/>
        <w:i w:val="false"/>
        <w:u w:val="none"/>
        <w:b/>
        <w:kern w:val="0"/>
        <w:szCs w:val="20"/>
        <w:iCs w:val="false"/>
        <w:bCs w:val="false"/>
        <w:em w:val="none"/>
        <w:vanish w:val="false"/>
        <w:rFonts w:cs="Times New Roman"/>
        <w:color w:val="auto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smallCaps w:val="false"/>
        <w:caps w:val="false"/>
        <w:dstrike w:val="false"/>
        <w:strike w:val="false"/>
        <w:vertAlign w:val="baseline"/>
        <w:position w:val="0"/>
        <w:sz w:val="18"/>
        <w:sz w:val="18"/>
        <w:spacing w:val="0"/>
        <w:i w:val="false"/>
        <w:u w:val="none"/>
        <w:b w:val="false"/>
        <w:kern w:val="0"/>
        <w:effect w:val="none"/>
        <w:iCs w:val="false"/>
        <w:bCs w:val="false"/>
        <w:em w:val="none"/>
        <w:vanish w:val="false"/>
        <w:rFonts w:cs="Times New Roman"/>
        <w:color w:val="00000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9" w:hanging="284"/>
      </w:pPr>
      <w:rPr>
        <w:smallCaps w:val="false"/>
        <w:caps w:val="false"/>
        <w:dstrike w:val="false"/>
        <w:strike w:val="false"/>
        <w:vertAlign w:val="baseline"/>
        <w:position w:val="0"/>
        <w:sz w:val="18"/>
        <w:sz w:val="18"/>
        <w:i w:val="false"/>
        <w:u w:val="none"/>
        <w:b w:val="false"/>
        <w:kern w:val="0"/>
        <w:szCs w:val="22"/>
        <w:vanish w:val="false"/>
        <w:color w:val="000000"/>
      </w:rPr>
    </w:lvl>
    <w:lvl w:ilvl="3">
      <w:start w:val="1"/>
      <w:numFmt w:val="decimal"/>
      <w:lvlText w:val="%1.%4"/>
      <w:lvlJc w:val="left"/>
      <w:pPr>
        <w:tabs>
          <w:tab w:val="num" w:pos="851"/>
        </w:tabs>
        <w:ind w:left="851" w:hanging="567"/>
      </w:pPr>
      <w:rPr>
        <w:smallCaps w:val="false"/>
        <w:caps w:val="false"/>
        <w:dstrike w:val="false"/>
        <w:strike w:val="false"/>
        <w:vertAlign w:val="baseline"/>
        <w:position w:val="0"/>
        <w:sz w:val="22"/>
        <w:sz w:val="22"/>
        <w:spacing w:val="0"/>
        <w:i w:val="false"/>
        <w:u w:val="none"/>
        <w:b w:val="false"/>
        <w:kern w:val="0"/>
        <w:szCs w:val="22"/>
        <w:w w:val="100"/>
        <w:vanish w:val="false"/>
        <w:color w:val="000000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283"/>
      </w:pPr>
      <w:rPr>
        <w:smallCaps w:val="false"/>
        <w:caps w:val="false"/>
        <w:dstrike w:val="false"/>
        <w:strike w:val="false"/>
        <w:vertAlign w:val="baseline"/>
        <w:position w:val="0"/>
        <w:sz w:val="22"/>
        <w:sz w:val="22"/>
        <w:spacing w:val="0"/>
        <w:i w:val="false"/>
        <w:u w:val="none"/>
        <w:b w:val="false"/>
        <w:kern w:val="0"/>
        <w:szCs w:val="22"/>
        <w:w w:val="100"/>
        <w:vanish w:val="false"/>
        <w:color w:val="000000"/>
      </w:rPr>
    </w:lvl>
    <w:lvl w:ilvl="5">
      <w:start w:val="1"/>
      <w:numFmt w:val="lowerLetter"/>
      <w:lvlText w:val="%6)"/>
      <w:lvlJc w:val="left"/>
      <w:pPr>
        <w:tabs>
          <w:tab w:val="num" w:pos="1418"/>
        </w:tabs>
        <w:ind w:left="1418" w:hanging="284"/>
      </w:pPr>
      <w:rPr>
        <w:smallCaps w:val="false"/>
        <w:caps w:val="false"/>
        <w:dstrike w:val="false"/>
        <w:strike w:val="false"/>
        <w:vertAlign w:val="baseline"/>
        <w:position w:val="0"/>
        <w:sz w:val="22"/>
        <w:sz w:val="22"/>
        <w:i w:val="false"/>
        <w:b w:val="false"/>
        <w:kern w:val="0"/>
        <w:szCs w:val="22"/>
        <w:vanish w:val="false"/>
        <w:color w:val="000000"/>
      </w:rPr>
    </w:lvl>
    <w:lvl w:ilvl="6">
      <w:start w:val="1"/>
      <w:numFmt w:val="bullet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>
        <w:sz w:val="24"/>
        <w:i w:val="false"/>
        <w:u w:val="none"/>
        <w:b w:val="false"/>
        <w:szCs w:val="24"/>
        <w:color w:val="auto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1134"/>
      </w:pPr>
      <w:rPr>
        <w:sz w:val="22"/>
        <w:i w:val="false"/>
        <w:u w:val="none"/>
        <w:b/>
        <w:szCs w:val="22"/>
        <w:color w:val="auto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smallCaps w:val="false"/>
        <w:caps w:val="false"/>
        <w:dstrike w:val="false"/>
        <w:strike w:val="false"/>
        <w:vertAlign w:val="baseline"/>
        <w:position w:val="0"/>
        <w:sz w:val="20"/>
        <w:sz w:val="20"/>
        <w:spacing w:val="0"/>
        <w:i w:val="false"/>
        <w:u w:val="none"/>
        <w:b/>
        <w:kern w:val="0"/>
        <w:szCs w:val="20"/>
        <w:iCs w:val="false"/>
        <w:bCs w:val="false"/>
        <w:em w:val="none"/>
        <w:vanish w:val="false"/>
        <w:rFonts w:cs="Times New Roman"/>
        <w:color w:val="auto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smallCaps w:val="false"/>
        <w:caps w:val="false"/>
        <w:dstrike w:val="false"/>
        <w:strike w:val="false"/>
        <w:vertAlign w:val="baseline"/>
        <w:position w:val="0"/>
        <w:sz w:val="18"/>
        <w:sz w:val="18"/>
        <w:spacing w:val="0"/>
        <w:i w:val="false"/>
        <w:u w:val="none"/>
        <w:b w:val="false"/>
        <w:kern w:val="0"/>
        <w:effect w:val="none"/>
        <w:iCs w:val="false"/>
        <w:bCs w:val="false"/>
        <w:em w:val="none"/>
        <w:vanish w:val="false"/>
        <w:rFonts w:cs="Times New Roman"/>
        <w:color w:val="00000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9" w:hanging="284"/>
      </w:pPr>
      <w:rPr>
        <w:smallCaps w:val="false"/>
        <w:caps w:val="false"/>
        <w:dstrike w:val="false"/>
        <w:strike w:val="false"/>
        <w:vertAlign w:val="baseline"/>
        <w:position w:val="0"/>
        <w:sz w:val="18"/>
        <w:sz w:val="18"/>
        <w:i w:val="false"/>
        <w:u w:val="none"/>
        <w:b w:val="false"/>
        <w:kern w:val="0"/>
        <w:szCs w:val="22"/>
        <w:vanish w:val="false"/>
        <w:color w:val="000000"/>
      </w:rPr>
    </w:lvl>
    <w:lvl w:ilvl="3">
      <w:start w:val="1"/>
      <w:numFmt w:val="decimal"/>
      <w:lvlText w:val="%1.%4"/>
      <w:lvlJc w:val="left"/>
      <w:pPr>
        <w:tabs>
          <w:tab w:val="num" w:pos="851"/>
        </w:tabs>
        <w:ind w:left="851" w:hanging="567"/>
      </w:pPr>
      <w:rPr>
        <w:smallCaps w:val="false"/>
        <w:caps w:val="false"/>
        <w:dstrike w:val="false"/>
        <w:strike w:val="false"/>
        <w:vertAlign w:val="baseline"/>
        <w:position w:val="0"/>
        <w:sz w:val="22"/>
        <w:sz w:val="22"/>
        <w:spacing w:val="0"/>
        <w:i w:val="false"/>
        <w:u w:val="none"/>
        <w:b w:val="false"/>
        <w:kern w:val="0"/>
        <w:szCs w:val="22"/>
        <w:w w:val="100"/>
        <w:vanish w:val="false"/>
        <w:color w:val="000000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283"/>
      </w:pPr>
      <w:rPr>
        <w:smallCaps w:val="false"/>
        <w:caps w:val="false"/>
        <w:dstrike w:val="false"/>
        <w:strike w:val="false"/>
        <w:vertAlign w:val="baseline"/>
        <w:position w:val="0"/>
        <w:sz w:val="22"/>
        <w:sz w:val="22"/>
        <w:spacing w:val="0"/>
        <w:i w:val="false"/>
        <w:u w:val="none"/>
        <w:b w:val="false"/>
        <w:kern w:val="0"/>
        <w:szCs w:val="22"/>
        <w:w w:val="100"/>
        <w:vanish w:val="false"/>
        <w:color w:val="000000"/>
      </w:rPr>
    </w:lvl>
    <w:lvl w:ilvl="5">
      <w:start w:val="1"/>
      <w:numFmt w:val="lowerLetter"/>
      <w:lvlText w:val="%6)"/>
      <w:lvlJc w:val="left"/>
      <w:pPr>
        <w:tabs>
          <w:tab w:val="num" w:pos="1418"/>
        </w:tabs>
        <w:ind w:left="1418" w:hanging="284"/>
      </w:pPr>
      <w:rPr>
        <w:smallCaps w:val="false"/>
        <w:caps w:val="false"/>
        <w:dstrike w:val="false"/>
        <w:strike w:val="false"/>
        <w:vertAlign w:val="baseline"/>
        <w:position w:val="0"/>
        <w:sz w:val="22"/>
        <w:sz w:val="22"/>
        <w:i w:val="false"/>
        <w:b w:val="false"/>
        <w:kern w:val="0"/>
        <w:szCs w:val="22"/>
        <w:vanish w:val="false"/>
        <w:color w:val="000000"/>
      </w:rPr>
    </w:lvl>
    <w:lvl w:ilvl="6">
      <w:start w:val="1"/>
      <w:numFmt w:val="bullet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>
        <w:sz w:val="24"/>
        <w:i w:val="false"/>
        <w:u w:val="none"/>
        <w:b w:val="false"/>
        <w:szCs w:val="24"/>
        <w:color w:val="auto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1134"/>
      </w:pPr>
      <w:rPr>
        <w:sz w:val="22"/>
        <w:i w:val="false"/>
        <w:u w:val="none"/>
        <w:b/>
        <w:szCs w:val="22"/>
        <w:color w:val="auto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9"/>
  <w:autoHyphenation w:val="true"/>
  <w:hyphenationZone w:val="425"/>
  <w:compat>
    <w:doNotExpandShiftReturn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umentProtection w:edit="forms" w:enforcement="1" w:cryptProviderType="rsaAES" w:cryptAlgorithmClass="hash" w:cryptAlgorithmType="typeAny" w:cryptAlgorithmSid="14" w:cryptSpinCount="100000" w:hash="vbgfL6Q2qKjB/NpPe3XqKZnUI9AQwdk4T0eLeM+JhLZjWbUxoym7y30opfCgOfni4RgRiZJEh8IeHXtdw1PHmQ==" w:salt="cW/h3aWvuPhzYE57x7BoTw=="/>
  <w:themeFontLang w:val="de-DE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de-DE" w:eastAsia="zh-CN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pPr>
      <w:widowControl/>
      <w:suppressAutoHyphens w:val="true"/>
      <w:overflowPunct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de-DE" w:eastAsia="de-DE" w:bidi="ar-SA"/>
    </w:rPr>
  </w:style>
  <w:style w:type="paragraph" w:styleId="Heading1">
    <w:name w:val="Heading 1"/>
    <w:basedOn w:val="Normal"/>
    <w:next w:val="Normal"/>
    <w:qFormat/>
    <w:rsid w:val="002f6255"/>
    <w:pPr>
      <w:numPr>
        <w:ilvl w:val="0"/>
        <w:numId w:val="1"/>
      </w:numPr>
      <w:overflowPunct w:val="false"/>
      <w:spacing w:beforeAutospacing="1" w:afterAutospacing="1"/>
      <w:textAlignment w:val="auto"/>
      <w:outlineLvl w:val="0"/>
    </w:pPr>
    <w:rPr>
      <w:rFonts w:ascii="Arial" w:hAnsi="Arial" w:cs="Arial"/>
      <w:b/>
      <w:bCs/>
      <w:kern w:val="2"/>
      <w:sz w:val="20"/>
    </w:rPr>
  </w:style>
  <w:style w:type="paragraph" w:styleId="Heading2">
    <w:name w:val="Heading 2"/>
    <w:basedOn w:val="Normal"/>
    <w:next w:val="Normal"/>
    <w:qFormat/>
    <w:rsid w:val="002f6255"/>
    <w:pPr>
      <w:numPr>
        <w:ilvl w:val="1"/>
        <w:numId w:val="1"/>
      </w:numPr>
      <w:overflowPunct w:val="false"/>
      <w:spacing w:before="40" w:after="40"/>
      <w:textAlignment w:val="auto"/>
      <w:outlineLvl w:val="1"/>
    </w:pPr>
    <w:rPr>
      <w:rFonts w:ascii="Arial" w:hAnsi="Arial" w:cs="Arial"/>
      <w:b/>
      <w:bCs/>
      <w:iCs/>
      <w:sz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unotenzeichen">
    <w:name w:val="Fußnotenzeichen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semiHidden/>
    <w:qFormat/>
    <w:rPr>
      <w:vertAlign w:val="superscript"/>
    </w:rPr>
  </w:style>
  <w:style w:type="character" w:styleId="KopfzeileZchn" w:customStyle="1">
    <w:name w:val="Kopfzeile Zchn"/>
    <w:basedOn w:val="DefaultParagraphFont"/>
    <w:uiPriority w:val="99"/>
    <w:qFormat/>
    <w:rsid w:val="00352b35"/>
    <w:rPr>
      <w:sz w:val="24"/>
      <w:lang w:eastAsia="de-DE"/>
    </w:rPr>
  </w:style>
  <w:style w:type="character" w:styleId="berschrift1Zchn" w:customStyle="1">
    <w:name w:val="Überschrift 1 Zchn"/>
    <w:basedOn w:val="DefaultParagraphFont"/>
    <w:qFormat/>
    <w:rsid w:val="002f6255"/>
    <w:rPr>
      <w:rFonts w:ascii="Arial" w:hAnsi="Arial" w:cs="Arial"/>
      <w:b/>
      <w:bCs/>
      <w:kern w:val="2"/>
      <w:lang w:eastAsia="de-DE"/>
    </w:rPr>
  </w:style>
  <w:style w:type="character" w:styleId="berschrift2Zchn" w:customStyle="1">
    <w:name w:val="Überschrift 2 Zchn"/>
    <w:basedOn w:val="DefaultParagraphFont"/>
    <w:qFormat/>
    <w:rsid w:val="002f6255"/>
    <w:rPr>
      <w:rFonts w:ascii="Arial" w:hAnsi="Arial" w:cs="Arial"/>
      <w:b/>
      <w:bCs/>
      <w:iCs/>
      <w:lang w:eastAsia="de-DE"/>
    </w:rPr>
  </w:style>
  <w:style w:type="character" w:styleId="FuzeileZchn" w:customStyle="1">
    <w:name w:val="Fußzeile Zchn"/>
    <w:basedOn w:val="DefaultParagraphFont"/>
    <w:qFormat/>
    <w:rsid w:val="002f6255"/>
    <w:rPr>
      <w:sz w:val="24"/>
      <w:lang w:eastAsia="de-DE"/>
    </w:rPr>
  </w:style>
  <w:style w:type="character" w:styleId="TitelZchn" w:customStyle="1">
    <w:name w:val="Titel Zchn"/>
    <w:basedOn w:val="DefaultParagraphFont"/>
    <w:qFormat/>
    <w:rsid w:val="002f6255"/>
    <w:rPr>
      <w:rFonts w:ascii="Arial" w:hAnsi="Arial" w:cs="Arial"/>
      <w:b/>
      <w:bCs/>
      <w:sz w:val="28"/>
      <w:szCs w:val="28"/>
      <w:lang w:eastAsia="de-DE"/>
    </w:rPr>
  </w:style>
  <w:style w:type="character" w:styleId="PageNumber">
    <w:name w:val="Page Number"/>
    <w:basedOn w:val="DefaultParagraphFont"/>
    <w:qFormat/>
    <w:rsid w:val="002f6255"/>
    <w:rPr/>
  </w:style>
  <w:style w:type="character" w:styleId="FunotentextZchn" w:customStyle="1">
    <w:name w:val="Fußnotentext Zchn"/>
    <w:basedOn w:val="DefaultParagraphFont"/>
    <w:semiHidden/>
    <w:qFormat/>
    <w:rsid w:val="002f6255"/>
    <w:rPr>
      <w:lang w:eastAsia="de-DE"/>
    </w:rPr>
  </w:style>
  <w:style w:type="character" w:styleId="annotationreference">
    <w:name w:val="annotation reference"/>
    <w:basedOn w:val="DefaultParagraphFont"/>
    <w:qFormat/>
    <w:rsid w:val="008d175e"/>
    <w:rPr>
      <w:sz w:val="16"/>
      <w:szCs w:val="16"/>
    </w:rPr>
  </w:style>
  <w:style w:type="character" w:styleId="KommentartextZchn" w:customStyle="1">
    <w:name w:val="Kommentartext Zchn"/>
    <w:basedOn w:val="DefaultParagraphFont"/>
    <w:qFormat/>
    <w:rsid w:val="008d175e"/>
    <w:rPr>
      <w:lang w:eastAsia="de-DE"/>
    </w:rPr>
  </w:style>
  <w:style w:type="character" w:styleId="KommentarthemaZchn" w:customStyle="1">
    <w:name w:val="Kommentarthema Zchn"/>
    <w:basedOn w:val="KommentartextZchn"/>
    <w:qFormat/>
    <w:rsid w:val="008d175e"/>
    <w:rPr>
      <w:b/>
      <w:bCs/>
      <w:lang w:eastAsia="de-DE"/>
    </w:rPr>
  </w:style>
  <w:style w:type="paragraph" w:styleId="berschrift">
    <w:name w:val="Überschrift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Verzeichnis">
    <w:name w:val="Verzeichnis"/>
    <w:basedOn w:val="Normal"/>
    <w:qFormat/>
    <w:pPr>
      <w:suppressLineNumbers/>
    </w:pPr>
    <w:rPr>
      <w:rFonts w:cs="Lohit Devanagari"/>
    </w:rPr>
  </w:style>
  <w:style w:type="paragraph" w:styleId="FootnoteText">
    <w:name w:val="Footnote Text"/>
    <w:basedOn w:val="Normal"/>
    <w:link w:val="FunotentextZchn"/>
    <w:semiHidden/>
    <w:pPr/>
    <w:rPr>
      <w:sz w:val="20"/>
    </w:rPr>
  </w:style>
  <w:style w:type="paragraph" w:styleId="Kopf-undFuzeile">
    <w:name w:val="Kopf- und Fußzeile"/>
    <w:basedOn w:val="Normal"/>
    <w:qFormat/>
    <w:pPr/>
    <w:rPr/>
  </w:style>
  <w:style w:type="paragraph" w:styleId="Kopf-Fuzeile">
    <w:name w:val="Kopf-/Fußzeile"/>
    <w:basedOn w:val="Normal"/>
    <w:qFormat/>
    <w:pPr/>
    <w:rPr/>
  </w:style>
  <w:style w:type="paragraph" w:styleId="Header">
    <w:name w:val="Header"/>
    <w:basedOn w:val="Normal"/>
    <w:link w:val="KopfzeileZchn"/>
    <w:uiPriority w:val="99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link w:val="FuzeileZchn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BalloonText">
    <w:name w:val="Balloon Text"/>
    <w:basedOn w:val="Normal"/>
    <w:semiHidden/>
    <w:qFormat/>
    <w:rsid w:val="0002495d"/>
    <w:pPr/>
    <w:rPr>
      <w:rFonts w:ascii="Tahoma" w:hAnsi="Tahoma" w:cs="Tahoma"/>
      <w:sz w:val="16"/>
      <w:szCs w:val="16"/>
    </w:rPr>
  </w:style>
  <w:style w:type="paragraph" w:styleId="Title">
    <w:name w:val="Title"/>
    <w:basedOn w:val="Normal"/>
    <w:link w:val="TitelZchn"/>
    <w:qFormat/>
    <w:rsid w:val="002f6255"/>
    <w:pPr>
      <w:overflowPunct w:val="false"/>
      <w:spacing w:before="0" w:after="240"/>
      <w:jc w:val="center"/>
      <w:textAlignment w:val="auto"/>
    </w:pPr>
    <w:rPr>
      <w:rFonts w:ascii="Arial" w:hAnsi="Arial" w:cs="Arial"/>
      <w:b/>
      <w:bCs/>
      <w:sz w:val="28"/>
      <w:szCs w:val="28"/>
    </w:rPr>
  </w:style>
  <w:style w:type="paragraph" w:styleId="Block" w:customStyle="1">
    <w:name w:val="Block"/>
    <w:basedOn w:val="Normal"/>
    <w:qFormat/>
    <w:rsid w:val="002f6255"/>
    <w:pPr>
      <w:overflowPunct w:val="false"/>
      <w:textAlignment w:val="auto"/>
    </w:pPr>
    <w:rPr>
      <w:rFonts w:ascii="Arial" w:hAnsi="Arial"/>
      <w:sz w:val="20"/>
    </w:rPr>
  </w:style>
  <w:style w:type="paragraph" w:styleId="Buchstabe1" w:customStyle="1">
    <w:name w:val="Buchstabe1"/>
    <w:basedOn w:val="Normal"/>
    <w:qFormat/>
    <w:rsid w:val="002f6255"/>
    <w:pPr>
      <w:overflowPunct w:val="false"/>
      <w:textAlignment w:val="auto"/>
    </w:pPr>
    <w:rPr>
      <w:rFonts w:ascii="Arial" w:hAnsi="Arial"/>
      <w:sz w:val="20"/>
    </w:rPr>
  </w:style>
  <w:style w:type="paragraph" w:styleId="AnnotationText">
    <w:name w:val="Annotation Text"/>
    <w:basedOn w:val="Normal"/>
    <w:link w:val="KommentartextZchn"/>
    <w:qFormat/>
    <w:rsid w:val="008d175e"/>
    <w:pPr/>
    <w:rPr>
      <w:sz w:val="20"/>
    </w:rPr>
  </w:style>
  <w:style w:type="paragraph" w:styleId="annotationsubject">
    <w:name w:val="annotation subject"/>
    <w:basedOn w:val="AnnotationText"/>
    <w:next w:val="AnnotationText"/>
    <w:link w:val="KommentarthemaZchn"/>
    <w:qFormat/>
    <w:rsid w:val="008d175e"/>
    <w:pPr/>
    <w:rPr>
      <w:b/>
      <w:bCs/>
    </w:rPr>
  </w:style>
  <w:style w:type="paragraph" w:styleId="ListParagraph">
    <w:name w:val="List Paragraph"/>
    <w:basedOn w:val="Normal"/>
    <w:uiPriority w:val="34"/>
    <w:qFormat/>
    <w:rsid w:val="008d175e"/>
    <w:pPr>
      <w:spacing w:before="0" w:after="0"/>
      <w:ind w:hanging="0" w:left="720"/>
      <w:contextualSpacing/>
    </w:pPr>
    <w:rPr/>
  </w:style>
  <w:style w:type="paragraph" w:styleId="Rahmeninhalt">
    <w:name w:val="Rahmeninhalt"/>
    <w:basedOn w:val="Normal"/>
    <w:qFormat/>
    <w:pPr/>
    <w:rPr/>
  </w:style>
  <w:style w:type="numbering" w:styleId="KeineListe" w:default="1">
    <w:name w:val="Keine Liste"/>
    <w:uiPriority w:val="99"/>
    <w:semiHidden/>
    <w:unhideWhenUsed/>
    <w:qFormat/>
  </w:style>
  <w:style w:type="table" w:default="1" w:styleId="NormaleTabel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Larissa">
  <a:themeElements>
    <a:clrScheme name="Larissa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989730-82E2-40C5-8E0B-B48FF1E04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VV-Bau II-Anlage 6-0350.dot</Template>
  <TotalTime>7</TotalTime>
  <Application>LibreOffice/24.2.7.2$Linux_X86_64 LibreOffice_project/420$Build-2</Application>
  <AppVersion>15.0000</AppVersion>
  <Pages>4</Pages>
  <Words>621</Words>
  <Characters>4384</Characters>
  <CharactersWithSpaces>5380</CharactersWithSpaces>
  <Paragraphs>290</Paragraphs>
  <Company>.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2018-06-11T09:06:00Z</dcterms:created>
  <dc:creator>MaaseBet</dc:creator>
  <dc:description/>
  <dc:language>de-DE</dc:language>
  <cp:lastModifiedBy/>
  <cp:lastPrinted>2018-06-14T07:08:00Z</cp:lastPrinted>
  <dcterms:modified xsi:type="dcterms:W3CDTF">2026-05-09T21:25:05Z</dcterms:modified>
  <cp:revision>28</cp:revision>
  <dc:subject>VV-Bau, Teil II, Anlage 48</dc:subject>
  <dc:title>Aufgliederung wichtiger Einheitspreise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